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D3A4" w14:textId="77777777" w:rsidR="00F027FD" w:rsidRDefault="00F027FD" w:rsidP="00F027FD">
      <w:pPr>
        <w:jc w:val="center"/>
      </w:pPr>
      <w:r>
        <w:t>Registration for summer and fall 2025 update</w:t>
      </w:r>
    </w:p>
    <w:p w14:paraId="0473B1E4" w14:textId="77777777" w:rsidR="00F027FD" w:rsidRDefault="00F027FD" w:rsidP="00F027FD"/>
    <w:p w14:paraId="657C3C50" w14:textId="77777777" w:rsidR="00F027FD" w:rsidRDefault="00F027FD" w:rsidP="00F027FD">
      <w:r>
        <w:rPr>
          <w:b/>
          <w:bCs/>
          <w:u w:val="single"/>
        </w:rPr>
        <w:t xml:space="preserve">First, a </w:t>
      </w:r>
      <w:proofErr w:type="gramStart"/>
      <w:r>
        <w:rPr>
          <w:b/>
          <w:bCs/>
          <w:u w:val="single"/>
        </w:rPr>
        <w:t>couple</w:t>
      </w:r>
      <w:proofErr w:type="gramEnd"/>
      <w:r>
        <w:rPr>
          <w:b/>
          <w:bCs/>
          <w:u w:val="single"/>
        </w:rPr>
        <w:t xml:space="preserve"> notes about summer</w:t>
      </w:r>
      <w:r>
        <w:t xml:space="preserve">:  </w:t>
      </w:r>
    </w:p>
    <w:p w14:paraId="6A22A3A6" w14:textId="77777777" w:rsidR="00F027FD" w:rsidRDefault="00F027FD" w:rsidP="00F027FD">
      <w:r>
        <w:t xml:space="preserve">As you all know, summer registration opens Monday (March 3).   There was one error in the summer registration dates previously sent: </w:t>
      </w:r>
    </w:p>
    <w:p w14:paraId="4DED084C" w14:textId="77777777" w:rsidR="00F027FD" w:rsidRDefault="00F027FD" w:rsidP="00F027FD">
      <w:pPr>
        <w:pStyle w:val="ListParagraph"/>
        <w:numPr>
          <w:ilvl w:val="0"/>
          <w:numId w:val="1"/>
        </w:numPr>
        <w:contextualSpacing w:val="0"/>
        <w:rPr>
          <w:rFonts w:eastAsia="Times New Roman"/>
        </w:rPr>
      </w:pPr>
      <w:r>
        <w:rPr>
          <w:rFonts w:eastAsia="Times New Roman"/>
        </w:rPr>
        <w:t>Self-service registration will close for Summer Sessions 1,2 and 3 on May 1</w:t>
      </w:r>
      <w:r>
        <w:rPr>
          <w:rFonts w:eastAsia="Times New Roman"/>
          <w:vertAlign w:val="superscript"/>
        </w:rPr>
        <w:t>st</w:t>
      </w:r>
      <w:r>
        <w:rPr>
          <w:rFonts w:eastAsia="Times New Roman"/>
        </w:rPr>
        <w:t xml:space="preserve"> as previously noted.  </w:t>
      </w:r>
    </w:p>
    <w:p w14:paraId="19642227" w14:textId="77777777" w:rsidR="00F027FD" w:rsidRDefault="00F027FD" w:rsidP="00F027FD">
      <w:pPr>
        <w:pStyle w:val="ListParagraph"/>
        <w:numPr>
          <w:ilvl w:val="0"/>
          <w:numId w:val="1"/>
        </w:numPr>
        <w:contextualSpacing w:val="0"/>
        <w:rPr>
          <w:rFonts w:eastAsia="Times New Roman"/>
        </w:rPr>
      </w:pPr>
      <w:r>
        <w:rPr>
          <w:rFonts w:eastAsia="Times New Roman"/>
        </w:rPr>
        <w:t xml:space="preserve">Registration for Summer Session 2 will reopen on June 2, but (and here’s the error) it will close again on </w:t>
      </w:r>
      <w:r>
        <w:rPr>
          <w:rFonts w:eastAsia="Times New Roman"/>
          <w:b/>
          <w:bCs/>
          <w:color w:val="FF0000"/>
        </w:rPr>
        <w:t>Monday, June 23</w:t>
      </w:r>
      <w:r>
        <w:rPr>
          <w:rFonts w:eastAsia="Times New Roman"/>
          <w:b/>
          <w:bCs/>
          <w:color w:val="FF0000"/>
          <w:vertAlign w:val="superscript"/>
        </w:rPr>
        <w:t>rd</w:t>
      </w:r>
      <w:r>
        <w:rPr>
          <w:rFonts w:eastAsia="Times New Roman"/>
          <w:color w:val="FF0000"/>
        </w:rPr>
        <w:t xml:space="preserve"> </w:t>
      </w:r>
      <w:r>
        <w:rPr>
          <w:rFonts w:eastAsia="Times New Roman"/>
        </w:rPr>
        <w:t>(not the 26</w:t>
      </w:r>
      <w:r>
        <w:rPr>
          <w:rFonts w:eastAsia="Times New Roman"/>
          <w:vertAlign w:val="superscript"/>
        </w:rPr>
        <w:t>th</w:t>
      </w:r>
      <w:r>
        <w:rPr>
          <w:rFonts w:eastAsia="Times New Roman"/>
        </w:rPr>
        <w:t xml:space="preserve"> as previously reported). </w:t>
      </w:r>
    </w:p>
    <w:p w14:paraId="317F0424" w14:textId="77777777" w:rsidR="00F027FD" w:rsidRDefault="00F027FD" w:rsidP="00F027FD"/>
    <w:p w14:paraId="70CEA7FA" w14:textId="77777777" w:rsidR="00F027FD" w:rsidRDefault="00F027FD" w:rsidP="00F027FD">
      <w:pPr>
        <w:rPr>
          <w:b/>
          <w:bCs/>
          <w:u w:val="single"/>
        </w:rPr>
      </w:pPr>
      <w:r>
        <w:rPr>
          <w:b/>
          <w:bCs/>
          <w:u w:val="single"/>
        </w:rPr>
        <w:t xml:space="preserve">FALL 2025:  </w:t>
      </w:r>
    </w:p>
    <w:p w14:paraId="430F05ED" w14:textId="77777777" w:rsidR="00F027FD" w:rsidRDefault="00F027FD" w:rsidP="00F027FD">
      <w:pPr>
        <w:rPr>
          <w:b/>
          <w:bCs/>
        </w:rPr>
      </w:pPr>
      <w:r>
        <w:t xml:space="preserve">FALL 2025 registration opens on </w:t>
      </w:r>
      <w:r>
        <w:rPr>
          <w:b/>
          <w:bCs/>
          <w:color w:val="FF0000"/>
        </w:rPr>
        <w:t>TUESDAY, April 1</w:t>
      </w:r>
      <w:r>
        <w:rPr>
          <w:b/>
          <w:bCs/>
          <w:color w:val="FF0000"/>
          <w:vertAlign w:val="superscript"/>
        </w:rPr>
        <w:t>st</w:t>
      </w:r>
      <w:r>
        <w:rPr>
          <w:b/>
          <w:bCs/>
          <w:color w:val="FF0000"/>
        </w:rPr>
        <w:t xml:space="preserve">. </w:t>
      </w:r>
    </w:p>
    <w:p w14:paraId="3263225A" w14:textId="77777777" w:rsidR="00F027FD" w:rsidRDefault="00F027FD" w:rsidP="00F027FD"/>
    <w:p w14:paraId="20299497" w14:textId="77777777" w:rsidR="00F027FD" w:rsidRDefault="00F027FD" w:rsidP="00F027FD">
      <w:pPr>
        <w:rPr>
          <w:u w:val="single"/>
        </w:rPr>
      </w:pPr>
      <w:r>
        <w:rPr>
          <w:b/>
          <w:bCs/>
          <w:u w:val="single"/>
        </w:rPr>
        <w:t>TERM ACTIVATION</w:t>
      </w:r>
      <w:r>
        <w:rPr>
          <w:u w:val="single"/>
        </w:rPr>
        <w:t xml:space="preserve">: </w:t>
      </w:r>
    </w:p>
    <w:p w14:paraId="763619AD" w14:textId="77777777" w:rsidR="00F027FD" w:rsidRDefault="00F027FD" w:rsidP="00F027FD">
      <w:r>
        <w:t xml:space="preserve">All active degree students not filed for graduation in May/August were term activated today for Fall 25.  The batch term activation process will </w:t>
      </w:r>
      <w:proofErr w:type="gramStart"/>
      <w:r>
        <w:t>start to run</w:t>
      </w:r>
      <w:proofErr w:type="gramEnd"/>
      <w:r>
        <w:t xml:space="preserve"> on Monday night.  That process will activate students who readmit after today and will also activate new students nightly.  Non-degree students will not be term activated for fall until this summer. </w:t>
      </w:r>
    </w:p>
    <w:p w14:paraId="1484043A" w14:textId="77777777" w:rsidR="00F027FD" w:rsidRDefault="00F027FD" w:rsidP="00F027FD"/>
    <w:p w14:paraId="27A2DAA5" w14:textId="77777777" w:rsidR="00F027FD" w:rsidRDefault="00F027FD" w:rsidP="00F027FD">
      <w:r>
        <w:t>WISER shopping carts/course search/Course Wizard should be open and available to active fall students starting on Monday, March 3.</w:t>
      </w:r>
    </w:p>
    <w:p w14:paraId="2DAAC0E9" w14:textId="77777777" w:rsidR="00F027FD" w:rsidRDefault="00F027FD" w:rsidP="00F027FD"/>
    <w:p w14:paraId="0AB783BD" w14:textId="77777777" w:rsidR="00F027FD" w:rsidRDefault="00F027FD" w:rsidP="00F027FD">
      <w:pPr>
        <w:rPr>
          <w:u w:val="single"/>
        </w:rPr>
      </w:pPr>
      <w:r>
        <w:rPr>
          <w:b/>
          <w:bCs/>
          <w:sz w:val="24"/>
          <w:szCs w:val="24"/>
          <w:u w:val="single"/>
        </w:rPr>
        <w:t>HOLDS AND ALERTS</w:t>
      </w:r>
      <w:r>
        <w:rPr>
          <w:b/>
          <w:bCs/>
          <w:u w:val="single"/>
        </w:rPr>
        <w:t xml:space="preserve">  </w:t>
      </w:r>
    </w:p>
    <w:p w14:paraId="3D459C03" w14:textId="77777777" w:rsidR="00F027FD" w:rsidRDefault="00F027FD" w:rsidP="00F027FD">
      <w:pPr>
        <w:rPr>
          <w:b/>
          <w:bCs/>
        </w:rPr>
      </w:pPr>
      <w:r>
        <w:t xml:space="preserve">The “big three” holds/alerts </w:t>
      </w:r>
      <w:proofErr w:type="gramStart"/>
      <w:r>
        <w:t>are  now</w:t>
      </w:r>
      <w:proofErr w:type="gramEnd"/>
      <w:r>
        <w:t xml:space="preserve"> in place.</w:t>
      </w:r>
    </w:p>
    <w:p w14:paraId="327EFB54" w14:textId="77777777" w:rsidR="00F027FD" w:rsidRDefault="00F027FD" w:rsidP="00F027FD">
      <w:pPr>
        <w:pStyle w:val="ListParagraph"/>
        <w:numPr>
          <w:ilvl w:val="0"/>
          <w:numId w:val="2"/>
        </w:numPr>
        <w:contextualSpacing w:val="0"/>
        <w:rPr>
          <w:rFonts w:eastAsia="Times New Roman"/>
          <w:b/>
          <w:bCs/>
        </w:rPr>
      </w:pPr>
      <w:r>
        <w:rPr>
          <w:rFonts w:eastAsia="Times New Roman"/>
          <w:b/>
          <w:bCs/>
        </w:rPr>
        <w:t xml:space="preserve">PD1 – Past Due Balance </w:t>
      </w:r>
    </w:p>
    <w:p w14:paraId="4C7C8FFE" w14:textId="77777777" w:rsidR="00F027FD" w:rsidRDefault="00F027FD" w:rsidP="00F027FD">
      <w:pPr>
        <w:pStyle w:val="ListParagraph"/>
        <w:numPr>
          <w:ilvl w:val="0"/>
          <w:numId w:val="2"/>
        </w:numPr>
        <w:contextualSpacing w:val="0"/>
        <w:rPr>
          <w:rFonts w:eastAsia="Times New Roman"/>
          <w:b/>
          <w:bCs/>
        </w:rPr>
      </w:pPr>
      <w:r>
        <w:rPr>
          <w:rFonts w:eastAsia="Times New Roman"/>
          <w:b/>
          <w:bCs/>
        </w:rPr>
        <w:t>ADVISING</w:t>
      </w:r>
      <w:r>
        <w:rPr>
          <w:rFonts w:eastAsia="Times New Roman"/>
        </w:rPr>
        <w:t xml:space="preserve">  </w:t>
      </w:r>
    </w:p>
    <w:p w14:paraId="61ACF23E" w14:textId="77777777" w:rsidR="00F027FD" w:rsidRDefault="00F027FD" w:rsidP="00F027FD">
      <w:pPr>
        <w:pStyle w:val="ListParagraph"/>
        <w:numPr>
          <w:ilvl w:val="0"/>
          <w:numId w:val="2"/>
        </w:numPr>
        <w:contextualSpacing w:val="0"/>
        <w:rPr>
          <w:rFonts w:eastAsia="Times New Roman"/>
        </w:rPr>
      </w:pPr>
      <w:r>
        <w:rPr>
          <w:rFonts w:eastAsia="Times New Roman"/>
          <w:b/>
          <w:bCs/>
        </w:rPr>
        <w:t>IMA (Immunization Alerts):  </w:t>
      </w:r>
      <w:r>
        <w:rPr>
          <w:rFonts w:eastAsia="Times New Roman"/>
        </w:rPr>
        <w:t xml:space="preserve">   The alerts have been placed on the accounts of students who are missing immunization requirements, as well as students who just need to complete the TB screening.  Students can find out exactly what they need to complete by checking their UHS health portals.  An email will be sent to all students who received the alerts on Monday.  I will forward a copy of that email as soon as it goes out.  During the pre-registration period, UHS and Registrar will coordinate to remove alerts about three times a week.  As we get closer to registration, we will </w:t>
      </w:r>
      <w:proofErr w:type="gramStart"/>
      <w:r>
        <w:rPr>
          <w:rFonts w:eastAsia="Times New Roman"/>
        </w:rPr>
        <w:t>remove</w:t>
      </w:r>
      <w:proofErr w:type="gramEnd"/>
      <w:r>
        <w:rPr>
          <w:rFonts w:eastAsia="Times New Roman"/>
        </w:rPr>
        <w:t xml:space="preserve"> daily. </w:t>
      </w:r>
    </w:p>
    <w:p w14:paraId="42D60EBD" w14:textId="77777777" w:rsidR="00F027FD" w:rsidRDefault="00F027FD" w:rsidP="00F027FD">
      <w:pPr>
        <w:pStyle w:val="ListParagraph"/>
        <w:numPr>
          <w:ilvl w:val="0"/>
          <w:numId w:val="2"/>
        </w:numPr>
        <w:contextualSpacing w:val="0"/>
        <w:rPr>
          <w:rFonts w:eastAsia="Times New Roman"/>
        </w:rPr>
      </w:pPr>
      <w:r>
        <w:rPr>
          <w:rFonts w:eastAsia="Times New Roman"/>
          <w:b/>
          <w:bCs/>
        </w:rPr>
        <w:t>Immunization holds:</w:t>
      </w:r>
      <w:r>
        <w:rPr>
          <w:rFonts w:eastAsia="Times New Roman"/>
        </w:rPr>
        <w:t>  Actual immunization holds will replace alerts on March 28th.</w:t>
      </w:r>
      <w:r>
        <w:rPr>
          <w:rFonts w:eastAsia="Times New Roman"/>
          <w:b/>
          <w:bCs/>
        </w:rPr>
        <w:t xml:space="preserve">  </w:t>
      </w:r>
      <w:r>
        <w:rPr>
          <w:rFonts w:eastAsia="Times New Roman"/>
        </w:rPr>
        <w:t xml:space="preserve">As we did last round, when we place the actual holds, we will be placing two different holds.  </w:t>
      </w:r>
    </w:p>
    <w:p w14:paraId="290036D0" w14:textId="77777777" w:rsidR="00F027FD" w:rsidRDefault="00F027FD" w:rsidP="00F027FD">
      <w:pPr>
        <w:pStyle w:val="ListParagraph"/>
        <w:numPr>
          <w:ilvl w:val="1"/>
          <w:numId w:val="2"/>
        </w:numPr>
        <w:contextualSpacing w:val="0"/>
        <w:rPr>
          <w:rFonts w:eastAsia="Times New Roman"/>
        </w:rPr>
      </w:pPr>
      <w:r>
        <w:rPr>
          <w:rFonts w:eastAsia="Times New Roman"/>
        </w:rPr>
        <w:t xml:space="preserve">There will be a </w:t>
      </w:r>
      <w:r>
        <w:rPr>
          <w:rFonts w:eastAsia="Times New Roman"/>
          <w:b/>
          <w:bCs/>
        </w:rPr>
        <w:t>TBS</w:t>
      </w:r>
      <w:r>
        <w:rPr>
          <w:rFonts w:eastAsia="Times New Roman"/>
        </w:rPr>
        <w:t xml:space="preserve"> hold placed for students who </w:t>
      </w:r>
      <w:r>
        <w:rPr>
          <w:rFonts w:eastAsia="Times New Roman"/>
          <w:b/>
          <w:bCs/>
        </w:rPr>
        <w:t>ONLY</w:t>
      </w:r>
      <w:r>
        <w:rPr>
          <w:rFonts w:eastAsia="Times New Roman"/>
        </w:rPr>
        <w:t xml:space="preserve"> need to complete their TB screening survey.  </w:t>
      </w:r>
    </w:p>
    <w:p w14:paraId="08438E5A" w14:textId="77777777" w:rsidR="00F027FD" w:rsidRDefault="00F027FD" w:rsidP="00F027FD">
      <w:pPr>
        <w:pStyle w:val="ListParagraph"/>
        <w:numPr>
          <w:ilvl w:val="1"/>
          <w:numId w:val="2"/>
        </w:numPr>
        <w:contextualSpacing w:val="0"/>
        <w:rPr>
          <w:rFonts w:eastAsia="Times New Roman"/>
        </w:rPr>
      </w:pPr>
      <w:r>
        <w:rPr>
          <w:rFonts w:eastAsia="Times New Roman"/>
        </w:rPr>
        <w:t xml:space="preserve">The regular immunization </w:t>
      </w:r>
      <w:r>
        <w:rPr>
          <w:rFonts w:eastAsia="Times New Roman"/>
          <w:b/>
          <w:bCs/>
        </w:rPr>
        <w:t>(IMM)</w:t>
      </w:r>
      <w:r>
        <w:rPr>
          <w:rFonts w:eastAsia="Times New Roman"/>
        </w:rPr>
        <w:t xml:space="preserve"> hold will be placed on students who need to complete vaccine requirements.  Students who have both vaccine and TB requirements will get this one. </w:t>
      </w:r>
    </w:p>
    <w:p w14:paraId="22B8BC6F" w14:textId="77777777" w:rsidR="00F027FD" w:rsidRDefault="00F027FD" w:rsidP="00F027FD"/>
    <w:p w14:paraId="2421A878" w14:textId="77777777" w:rsidR="00F027FD" w:rsidRDefault="00F027FD" w:rsidP="00F027FD">
      <w:pPr>
        <w:rPr>
          <w:i/>
          <w:iCs/>
          <w:u w:val="single"/>
        </w:rPr>
      </w:pPr>
      <w:r>
        <w:t xml:space="preserve">Other batch holds that may go on before registration are the Wellness Education, Housing Financial and new WPE holds. </w:t>
      </w:r>
      <w:proofErr w:type="gramStart"/>
      <w:r>
        <w:t>With the exception of</w:t>
      </w:r>
      <w:proofErr w:type="gramEnd"/>
      <w:r>
        <w:t xml:space="preserve"> the PD1 and the Housing Financial holds, the </w:t>
      </w:r>
      <w:r>
        <w:rPr>
          <w:b/>
          <w:bCs/>
        </w:rPr>
        <w:t>newly placed</w:t>
      </w:r>
      <w:r>
        <w:t xml:space="preserve"> holds are effective for Fall 2025 and should not impact summer registration.   </w:t>
      </w:r>
      <w:r>
        <w:rPr>
          <w:i/>
          <w:iCs/>
          <w:u w:val="single"/>
        </w:rPr>
        <w:t xml:space="preserve">Note: We do not add EMC holds for fall registration.  </w:t>
      </w:r>
    </w:p>
    <w:p w14:paraId="3A48DBA3" w14:textId="77777777" w:rsidR="00F027FD" w:rsidRDefault="00F027FD" w:rsidP="00F027FD"/>
    <w:p w14:paraId="181EC01A" w14:textId="77777777" w:rsidR="00F027FD" w:rsidRDefault="00F027FD" w:rsidP="00F027FD">
      <w:r>
        <w:rPr>
          <w:b/>
          <w:bCs/>
          <w:u w:val="single"/>
        </w:rPr>
        <w:t>ENROLLMENT APPOINTMENTS</w:t>
      </w:r>
    </w:p>
    <w:p w14:paraId="6EBC6EA6" w14:textId="77777777" w:rsidR="00F027FD" w:rsidRDefault="00F027FD" w:rsidP="00F027FD">
      <w:r>
        <w:lastRenderedPageBreak/>
        <w:t xml:space="preserve">Enrollment appointments for fall are scheduled to </w:t>
      </w:r>
      <w:proofErr w:type="gramStart"/>
      <w:r>
        <w:t>run</w:t>
      </w:r>
      <w:proofErr w:type="gramEnd"/>
      <w:r>
        <w:t xml:space="preserve"> on Thursday, March 6.  </w:t>
      </w:r>
      <w:proofErr w:type="gramStart"/>
      <w:r>
        <w:t>They  are</w:t>
      </w:r>
      <w:proofErr w:type="gramEnd"/>
      <w:r>
        <w:t xml:space="preserve"> listed below.  Just a reminder that summer does not require enrollment appointments. </w:t>
      </w:r>
    </w:p>
    <w:p w14:paraId="4DEDC1E7" w14:textId="77777777" w:rsidR="00F027FD" w:rsidRDefault="00F027FD" w:rsidP="00F027FD">
      <w:pPr>
        <w:rPr>
          <w:b/>
          <w:bCs/>
        </w:rPr>
      </w:pPr>
    </w:p>
    <w:tbl>
      <w:tblPr>
        <w:tblW w:w="7053" w:type="dxa"/>
        <w:tblCellMar>
          <w:left w:w="0" w:type="dxa"/>
          <w:right w:w="0" w:type="dxa"/>
        </w:tblCellMar>
        <w:tblLook w:val="04A0" w:firstRow="1" w:lastRow="0" w:firstColumn="1" w:lastColumn="0" w:noHBand="0" w:noVBand="1"/>
      </w:tblPr>
      <w:tblGrid>
        <w:gridCol w:w="1282"/>
        <w:gridCol w:w="5771"/>
      </w:tblGrid>
      <w:tr w:rsidR="00F027FD" w14:paraId="3C4A3303" w14:textId="77777777" w:rsidTr="00F027FD">
        <w:trPr>
          <w:trHeight w:val="300"/>
        </w:trPr>
        <w:tc>
          <w:tcPr>
            <w:tcW w:w="7053" w:type="dxa"/>
            <w:gridSpan w:val="2"/>
            <w:noWrap/>
            <w:tcMar>
              <w:top w:w="0" w:type="dxa"/>
              <w:left w:w="108" w:type="dxa"/>
              <w:bottom w:w="0" w:type="dxa"/>
              <w:right w:w="108" w:type="dxa"/>
            </w:tcMar>
            <w:vAlign w:val="bottom"/>
            <w:hideMark/>
          </w:tcPr>
          <w:p w14:paraId="35348E77" w14:textId="77777777" w:rsidR="00F027FD" w:rsidRDefault="00F027FD">
            <w:pPr>
              <w:rPr>
                <w:b/>
                <w:bCs/>
                <w:color w:val="000000"/>
              </w:rPr>
            </w:pPr>
            <w:r>
              <w:rPr>
                <w:b/>
                <w:bCs/>
                <w:color w:val="000000"/>
              </w:rPr>
              <w:t>Undergraduate</w:t>
            </w:r>
          </w:p>
        </w:tc>
      </w:tr>
      <w:tr w:rsidR="00F027FD" w14:paraId="34952416" w14:textId="77777777" w:rsidTr="00F027FD">
        <w:trPr>
          <w:trHeight w:val="300"/>
        </w:trPr>
        <w:tc>
          <w:tcPr>
            <w:tcW w:w="1282" w:type="dxa"/>
            <w:noWrap/>
            <w:tcMar>
              <w:top w:w="0" w:type="dxa"/>
              <w:left w:w="108" w:type="dxa"/>
              <w:bottom w:w="0" w:type="dxa"/>
              <w:right w:w="108" w:type="dxa"/>
            </w:tcMar>
            <w:vAlign w:val="center"/>
            <w:hideMark/>
          </w:tcPr>
          <w:p w14:paraId="0593D462" w14:textId="77777777" w:rsidR="00F027FD" w:rsidRDefault="00F027FD">
            <w:pPr>
              <w:jc w:val="right"/>
              <w:rPr>
                <w:color w:val="000000"/>
              </w:rPr>
            </w:pPr>
            <w:r>
              <w:t>4/1/2025</w:t>
            </w:r>
          </w:p>
        </w:tc>
        <w:tc>
          <w:tcPr>
            <w:tcW w:w="5771" w:type="dxa"/>
            <w:noWrap/>
            <w:tcMar>
              <w:top w:w="0" w:type="dxa"/>
              <w:left w:w="108" w:type="dxa"/>
              <w:bottom w:w="0" w:type="dxa"/>
              <w:right w:w="108" w:type="dxa"/>
            </w:tcMar>
            <w:vAlign w:val="center"/>
            <w:hideMark/>
          </w:tcPr>
          <w:p w14:paraId="1347625C" w14:textId="77777777" w:rsidR="00F027FD" w:rsidRDefault="00F027FD">
            <w:pPr>
              <w:rPr>
                <w:color w:val="000000"/>
              </w:rPr>
            </w:pPr>
            <w:r>
              <w:rPr>
                <w:color w:val="000000"/>
              </w:rPr>
              <w:t> Greater than or equal (GE) to 100 credits and priority groups</w:t>
            </w:r>
          </w:p>
        </w:tc>
      </w:tr>
      <w:tr w:rsidR="00F027FD" w14:paraId="430381C8" w14:textId="77777777" w:rsidTr="00F027FD">
        <w:trPr>
          <w:trHeight w:val="300"/>
        </w:trPr>
        <w:tc>
          <w:tcPr>
            <w:tcW w:w="1282" w:type="dxa"/>
            <w:noWrap/>
            <w:tcMar>
              <w:top w:w="0" w:type="dxa"/>
              <w:left w:w="108" w:type="dxa"/>
              <w:bottom w:w="0" w:type="dxa"/>
              <w:right w:w="108" w:type="dxa"/>
            </w:tcMar>
            <w:vAlign w:val="center"/>
            <w:hideMark/>
          </w:tcPr>
          <w:p w14:paraId="58963077" w14:textId="77777777" w:rsidR="00F027FD" w:rsidRDefault="00F027FD">
            <w:pPr>
              <w:jc w:val="right"/>
              <w:rPr>
                <w:color w:val="000000"/>
              </w:rPr>
            </w:pPr>
            <w:r>
              <w:t>4/3/2025</w:t>
            </w:r>
          </w:p>
        </w:tc>
        <w:tc>
          <w:tcPr>
            <w:tcW w:w="5771" w:type="dxa"/>
            <w:noWrap/>
            <w:tcMar>
              <w:top w:w="0" w:type="dxa"/>
              <w:left w:w="108" w:type="dxa"/>
              <w:bottom w:w="0" w:type="dxa"/>
              <w:right w:w="108" w:type="dxa"/>
            </w:tcMar>
            <w:vAlign w:val="center"/>
            <w:hideMark/>
          </w:tcPr>
          <w:p w14:paraId="14CE2238" w14:textId="77777777" w:rsidR="00F027FD" w:rsidRDefault="00F027FD">
            <w:pPr>
              <w:rPr>
                <w:color w:val="000000"/>
              </w:rPr>
            </w:pPr>
            <w:r>
              <w:rPr>
                <w:color w:val="000000"/>
              </w:rPr>
              <w:t>&lt;100 credits and GE to 75 credits</w:t>
            </w:r>
          </w:p>
        </w:tc>
      </w:tr>
      <w:tr w:rsidR="00F027FD" w14:paraId="3CBF400B" w14:textId="77777777" w:rsidTr="00F027FD">
        <w:trPr>
          <w:trHeight w:val="300"/>
        </w:trPr>
        <w:tc>
          <w:tcPr>
            <w:tcW w:w="1282" w:type="dxa"/>
            <w:noWrap/>
            <w:tcMar>
              <w:top w:w="0" w:type="dxa"/>
              <w:left w:w="108" w:type="dxa"/>
              <w:bottom w:w="0" w:type="dxa"/>
              <w:right w:w="108" w:type="dxa"/>
            </w:tcMar>
            <w:vAlign w:val="center"/>
            <w:hideMark/>
          </w:tcPr>
          <w:p w14:paraId="78969B69" w14:textId="77777777" w:rsidR="00F027FD" w:rsidRDefault="00F027FD">
            <w:pPr>
              <w:jc w:val="right"/>
              <w:rPr>
                <w:color w:val="000000"/>
              </w:rPr>
            </w:pPr>
            <w:r>
              <w:t>4/7/2025</w:t>
            </w:r>
          </w:p>
        </w:tc>
        <w:tc>
          <w:tcPr>
            <w:tcW w:w="5771" w:type="dxa"/>
            <w:noWrap/>
            <w:tcMar>
              <w:top w:w="0" w:type="dxa"/>
              <w:left w:w="108" w:type="dxa"/>
              <w:bottom w:w="0" w:type="dxa"/>
              <w:right w:w="108" w:type="dxa"/>
            </w:tcMar>
            <w:vAlign w:val="center"/>
            <w:hideMark/>
          </w:tcPr>
          <w:p w14:paraId="44D50F78" w14:textId="77777777" w:rsidR="00F027FD" w:rsidRDefault="00F027FD">
            <w:pPr>
              <w:rPr>
                <w:color w:val="000000"/>
              </w:rPr>
            </w:pPr>
            <w:r>
              <w:rPr>
                <w:color w:val="000000"/>
              </w:rPr>
              <w:t> &lt;75 credits and GE 55 credits</w:t>
            </w:r>
          </w:p>
        </w:tc>
      </w:tr>
      <w:tr w:rsidR="00F027FD" w14:paraId="6C9A470E" w14:textId="77777777" w:rsidTr="00F027FD">
        <w:trPr>
          <w:trHeight w:val="300"/>
        </w:trPr>
        <w:tc>
          <w:tcPr>
            <w:tcW w:w="1282" w:type="dxa"/>
            <w:noWrap/>
            <w:tcMar>
              <w:top w:w="0" w:type="dxa"/>
              <w:left w:w="108" w:type="dxa"/>
              <w:bottom w:w="0" w:type="dxa"/>
              <w:right w:w="108" w:type="dxa"/>
            </w:tcMar>
            <w:vAlign w:val="center"/>
            <w:hideMark/>
          </w:tcPr>
          <w:p w14:paraId="1008AA7C" w14:textId="77777777" w:rsidR="00F027FD" w:rsidRDefault="00F027FD">
            <w:pPr>
              <w:jc w:val="right"/>
              <w:rPr>
                <w:color w:val="000000"/>
              </w:rPr>
            </w:pPr>
            <w:r>
              <w:t>4/9/2025</w:t>
            </w:r>
          </w:p>
        </w:tc>
        <w:tc>
          <w:tcPr>
            <w:tcW w:w="5771" w:type="dxa"/>
            <w:noWrap/>
            <w:tcMar>
              <w:top w:w="0" w:type="dxa"/>
              <w:left w:w="108" w:type="dxa"/>
              <w:bottom w:w="0" w:type="dxa"/>
              <w:right w:w="108" w:type="dxa"/>
            </w:tcMar>
            <w:vAlign w:val="center"/>
            <w:hideMark/>
          </w:tcPr>
          <w:p w14:paraId="37810B46" w14:textId="77777777" w:rsidR="00F027FD" w:rsidRDefault="00F027FD">
            <w:pPr>
              <w:rPr>
                <w:color w:val="000000"/>
              </w:rPr>
            </w:pPr>
            <w:r>
              <w:rPr>
                <w:color w:val="000000"/>
              </w:rPr>
              <w:t> &lt;55 credits and GE 30 credits</w:t>
            </w:r>
          </w:p>
        </w:tc>
      </w:tr>
      <w:tr w:rsidR="00F027FD" w14:paraId="41F519BB" w14:textId="77777777" w:rsidTr="00F027FD">
        <w:trPr>
          <w:trHeight w:val="300"/>
        </w:trPr>
        <w:tc>
          <w:tcPr>
            <w:tcW w:w="1282" w:type="dxa"/>
            <w:noWrap/>
            <w:tcMar>
              <w:top w:w="0" w:type="dxa"/>
              <w:left w:w="108" w:type="dxa"/>
              <w:bottom w:w="0" w:type="dxa"/>
              <w:right w:w="108" w:type="dxa"/>
            </w:tcMar>
            <w:vAlign w:val="center"/>
            <w:hideMark/>
          </w:tcPr>
          <w:p w14:paraId="75A4E0FD" w14:textId="77777777" w:rsidR="00F027FD" w:rsidRDefault="00F027FD">
            <w:pPr>
              <w:jc w:val="right"/>
              <w:rPr>
                <w:color w:val="000000"/>
              </w:rPr>
            </w:pPr>
            <w:r>
              <w:t>4/11/2025</w:t>
            </w:r>
          </w:p>
        </w:tc>
        <w:tc>
          <w:tcPr>
            <w:tcW w:w="5771" w:type="dxa"/>
            <w:noWrap/>
            <w:tcMar>
              <w:top w:w="0" w:type="dxa"/>
              <w:left w:w="108" w:type="dxa"/>
              <w:bottom w:w="0" w:type="dxa"/>
              <w:right w:w="108" w:type="dxa"/>
            </w:tcMar>
            <w:vAlign w:val="center"/>
            <w:hideMark/>
          </w:tcPr>
          <w:p w14:paraId="51584252" w14:textId="77777777" w:rsidR="00F027FD" w:rsidRDefault="00F027FD">
            <w:pPr>
              <w:rPr>
                <w:color w:val="000000"/>
              </w:rPr>
            </w:pPr>
            <w:r>
              <w:rPr>
                <w:color w:val="000000"/>
              </w:rPr>
              <w:t>&lt;30 credits</w:t>
            </w:r>
          </w:p>
        </w:tc>
      </w:tr>
      <w:tr w:rsidR="00F027FD" w14:paraId="6B4F4D46" w14:textId="77777777" w:rsidTr="00F027FD">
        <w:trPr>
          <w:trHeight w:val="300"/>
        </w:trPr>
        <w:tc>
          <w:tcPr>
            <w:tcW w:w="1282" w:type="dxa"/>
            <w:noWrap/>
            <w:tcMar>
              <w:top w:w="0" w:type="dxa"/>
              <w:left w:w="108" w:type="dxa"/>
              <w:bottom w:w="0" w:type="dxa"/>
              <w:right w:w="108" w:type="dxa"/>
            </w:tcMar>
            <w:vAlign w:val="center"/>
            <w:hideMark/>
          </w:tcPr>
          <w:p w14:paraId="72E901E2" w14:textId="77777777" w:rsidR="00F027FD" w:rsidRDefault="00F027FD">
            <w:pPr>
              <w:rPr>
                <w:color w:val="000000"/>
              </w:rPr>
            </w:pPr>
          </w:p>
        </w:tc>
        <w:tc>
          <w:tcPr>
            <w:tcW w:w="5771" w:type="dxa"/>
            <w:noWrap/>
            <w:tcMar>
              <w:top w:w="0" w:type="dxa"/>
              <w:left w:w="108" w:type="dxa"/>
              <w:bottom w:w="0" w:type="dxa"/>
              <w:right w:w="108" w:type="dxa"/>
            </w:tcMar>
            <w:vAlign w:val="center"/>
            <w:hideMark/>
          </w:tcPr>
          <w:p w14:paraId="6FFA2AF8" w14:textId="77777777" w:rsidR="00F027FD" w:rsidRDefault="00F027FD">
            <w:pPr>
              <w:rPr>
                <w:rFonts w:ascii="Times New Roman" w:eastAsia="Times New Roman" w:hAnsi="Times New Roman" w:cs="Times New Roman"/>
                <w:sz w:val="20"/>
                <w:szCs w:val="20"/>
              </w:rPr>
            </w:pPr>
          </w:p>
        </w:tc>
      </w:tr>
      <w:tr w:rsidR="00F027FD" w14:paraId="66D94EE6" w14:textId="77777777" w:rsidTr="00F027FD">
        <w:trPr>
          <w:trHeight w:val="300"/>
        </w:trPr>
        <w:tc>
          <w:tcPr>
            <w:tcW w:w="1282" w:type="dxa"/>
            <w:noWrap/>
            <w:tcMar>
              <w:top w:w="0" w:type="dxa"/>
              <w:left w:w="108" w:type="dxa"/>
              <w:bottom w:w="0" w:type="dxa"/>
              <w:right w:w="108" w:type="dxa"/>
            </w:tcMar>
            <w:vAlign w:val="center"/>
            <w:hideMark/>
          </w:tcPr>
          <w:p w14:paraId="5C5466E5" w14:textId="77777777" w:rsidR="00F027FD" w:rsidRDefault="00F027FD">
            <w:pPr>
              <w:rPr>
                <w:b/>
                <w:bCs/>
                <w:color w:val="000000"/>
              </w:rPr>
            </w:pPr>
            <w:r>
              <w:rPr>
                <w:b/>
                <w:bCs/>
                <w:color w:val="000000"/>
              </w:rPr>
              <w:t>Graduate</w:t>
            </w:r>
          </w:p>
        </w:tc>
        <w:tc>
          <w:tcPr>
            <w:tcW w:w="5771" w:type="dxa"/>
            <w:noWrap/>
            <w:tcMar>
              <w:top w:w="0" w:type="dxa"/>
              <w:left w:w="108" w:type="dxa"/>
              <w:bottom w:w="0" w:type="dxa"/>
              <w:right w:w="108" w:type="dxa"/>
            </w:tcMar>
            <w:vAlign w:val="center"/>
            <w:hideMark/>
          </w:tcPr>
          <w:p w14:paraId="2CFC51C2" w14:textId="77777777" w:rsidR="00F027FD" w:rsidRDefault="00F027FD">
            <w:pPr>
              <w:rPr>
                <w:b/>
                <w:bCs/>
                <w:color w:val="000000"/>
              </w:rPr>
            </w:pPr>
          </w:p>
        </w:tc>
      </w:tr>
      <w:tr w:rsidR="00F027FD" w14:paraId="4586B5FF" w14:textId="77777777" w:rsidTr="00F027FD">
        <w:trPr>
          <w:trHeight w:val="300"/>
        </w:trPr>
        <w:tc>
          <w:tcPr>
            <w:tcW w:w="1282" w:type="dxa"/>
            <w:noWrap/>
            <w:tcMar>
              <w:top w:w="0" w:type="dxa"/>
              <w:left w:w="108" w:type="dxa"/>
              <w:bottom w:w="0" w:type="dxa"/>
              <w:right w:w="108" w:type="dxa"/>
            </w:tcMar>
            <w:vAlign w:val="center"/>
            <w:hideMark/>
          </w:tcPr>
          <w:p w14:paraId="39B4BC13" w14:textId="77777777" w:rsidR="00F027FD" w:rsidRDefault="00F027FD">
            <w:pPr>
              <w:jc w:val="right"/>
              <w:rPr>
                <w:color w:val="000000"/>
              </w:rPr>
            </w:pPr>
            <w:r>
              <w:t>4/1/2025</w:t>
            </w:r>
          </w:p>
        </w:tc>
        <w:tc>
          <w:tcPr>
            <w:tcW w:w="5771" w:type="dxa"/>
            <w:noWrap/>
            <w:tcMar>
              <w:top w:w="0" w:type="dxa"/>
              <w:left w:w="108" w:type="dxa"/>
              <w:bottom w:w="0" w:type="dxa"/>
              <w:right w:w="108" w:type="dxa"/>
            </w:tcMar>
            <w:vAlign w:val="center"/>
            <w:hideMark/>
          </w:tcPr>
          <w:p w14:paraId="659FFBAB" w14:textId="77777777" w:rsidR="00F027FD" w:rsidRDefault="00F027FD">
            <w:pPr>
              <w:rPr>
                <w:color w:val="000000"/>
              </w:rPr>
            </w:pPr>
            <w:r>
              <w:rPr>
                <w:color w:val="000000"/>
              </w:rPr>
              <w:t> Greater than or equal (GE) to 21 credits</w:t>
            </w:r>
          </w:p>
        </w:tc>
      </w:tr>
      <w:tr w:rsidR="00F027FD" w14:paraId="6E6F3BAF" w14:textId="77777777" w:rsidTr="00F027FD">
        <w:trPr>
          <w:trHeight w:val="300"/>
        </w:trPr>
        <w:tc>
          <w:tcPr>
            <w:tcW w:w="1282" w:type="dxa"/>
            <w:noWrap/>
            <w:tcMar>
              <w:top w:w="0" w:type="dxa"/>
              <w:left w:w="108" w:type="dxa"/>
              <w:bottom w:w="0" w:type="dxa"/>
              <w:right w:w="108" w:type="dxa"/>
            </w:tcMar>
            <w:vAlign w:val="center"/>
            <w:hideMark/>
          </w:tcPr>
          <w:p w14:paraId="5C00E089" w14:textId="77777777" w:rsidR="00F027FD" w:rsidRDefault="00F027FD">
            <w:pPr>
              <w:jc w:val="right"/>
              <w:rPr>
                <w:color w:val="000000"/>
              </w:rPr>
            </w:pPr>
            <w:r>
              <w:t>4/3/2025</w:t>
            </w:r>
          </w:p>
        </w:tc>
        <w:tc>
          <w:tcPr>
            <w:tcW w:w="5771" w:type="dxa"/>
            <w:noWrap/>
            <w:tcMar>
              <w:top w:w="0" w:type="dxa"/>
              <w:left w:w="108" w:type="dxa"/>
              <w:bottom w:w="0" w:type="dxa"/>
              <w:right w:w="108" w:type="dxa"/>
            </w:tcMar>
            <w:vAlign w:val="center"/>
            <w:hideMark/>
          </w:tcPr>
          <w:p w14:paraId="28B2CD00" w14:textId="77777777" w:rsidR="00F027FD" w:rsidRDefault="00F027FD">
            <w:pPr>
              <w:rPr>
                <w:color w:val="000000"/>
              </w:rPr>
            </w:pPr>
            <w:r>
              <w:rPr>
                <w:color w:val="000000"/>
              </w:rPr>
              <w:t> &lt;21 credits and GE 6 credits</w:t>
            </w:r>
          </w:p>
        </w:tc>
      </w:tr>
      <w:tr w:rsidR="00F027FD" w14:paraId="572CE304" w14:textId="77777777" w:rsidTr="00F027FD">
        <w:trPr>
          <w:trHeight w:val="300"/>
        </w:trPr>
        <w:tc>
          <w:tcPr>
            <w:tcW w:w="1282" w:type="dxa"/>
            <w:noWrap/>
            <w:tcMar>
              <w:top w:w="0" w:type="dxa"/>
              <w:left w:w="108" w:type="dxa"/>
              <w:bottom w:w="0" w:type="dxa"/>
              <w:right w:w="108" w:type="dxa"/>
            </w:tcMar>
            <w:vAlign w:val="center"/>
            <w:hideMark/>
          </w:tcPr>
          <w:p w14:paraId="3C519BBD" w14:textId="77777777" w:rsidR="00F027FD" w:rsidRDefault="00F027FD">
            <w:pPr>
              <w:jc w:val="right"/>
              <w:rPr>
                <w:color w:val="000000"/>
              </w:rPr>
            </w:pPr>
            <w:r>
              <w:t>4/7/2025</w:t>
            </w:r>
          </w:p>
        </w:tc>
        <w:tc>
          <w:tcPr>
            <w:tcW w:w="5771" w:type="dxa"/>
            <w:noWrap/>
            <w:tcMar>
              <w:top w:w="0" w:type="dxa"/>
              <w:left w:w="108" w:type="dxa"/>
              <w:bottom w:w="0" w:type="dxa"/>
              <w:right w:w="108" w:type="dxa"/>
            </w:tcMar>
            <w:vAlign w:val="center"/>
            <w:hideMark/>
          </w:tcPr>
          <w:p w14:paraId="21D0828B" w14:textId="77777777" w:rsidR="00F027FD" w:rsidRDefault="00F027FD">
            <w:pPr>
              <w:rPr>
                <w:color w:val="000000"/>
              </w:rPr>
            </w:pPr>
            <w:r>
              <w:rPr>
                <w:color w:val="000000"/>
              </w:rPr>
              <w:t> &lt;21 credits and GE 6 credits</w:t>
            </w:r>
          </w:p>
        </w:tc>
      </w:tr>
    </w:tbl>
    <w:p w14:paraId="700DE618" w14:textId="77777777" w:rsidR="00F027FD" w:rsidRDefault="00F027FD" w:rsidP="00F027FD">
      <w:pPr>
        <w:ind w:left="720"/>
        <w:rPr>
          <w:b/>
          <w:bCs/>
        </w:rPr>
      </w:pPr>
    </w:p>
    <w:p w14:paraId="60411829" w14:textId="77777777" w:rsidR="00F027FD" w:rsidRDefault="00F027FD" w:rsidP="00F027FD">
      <w:r>
        <w:t xml:space="preserve">Guest student/non-degree registration for Fall 2025 will open in August.   </w:t>
      </w:r>
    </w:p>
    <w:p w14:paraId="7A71B011" w14:textId="77777777" w:rsidR="00F027FD" w:rsidRDefault="00F027FD" w:rsidP="00F027FD"/>
    <w:p w14:paraId="1E0A8607" w14:textId="1757CC03" w:rsidR="00F027FD" w:rsidRDefault="00F027FD" w:rsidP="00F027FD">
      <w:r>
        <w:t xml:space="preserve">Information courtesy of Sarah Bartlett, Interim Registrar; </w:t>
      </w:r>
      <w:hyperlink r:id="rId5" w:history="1">
        <w:r w:rsidRPr="005F0D4E">
          <w:rPr>
            <w:rStyle w:val="Hyperlink"/>
          </w:rPr>
          <w:t>sarah.bartlett@umb.edu</w:t>
        </w:r>
      </w:hyperlink>
      <w:r>
        <w:t xml:space="preserve"> </w:t>
      </w:r>
    </w:p>
    <w:p w14:paraId="0934AA2A" w14:textId="77777777" w:rsidR="00F027FD" w:rsidRDefault="00F027FD"/>
    <w:sectPr w:rsidR="00F02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C79"/>
    <w:multiLevelType w:val="hybridMultilevel"/>
    <w:tmpl w:val="5DB8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836450"/>
    <w:multiLevelType w:val="hybridMultilevel"/>
    <w:tmpl w:val="3950FC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90536124">
    <w:abstractNumId w:val="1"/>
    <w:lvlOverride w:ilvl="0"/>
    <w:lvlOverride w:ilvl="1"/>
    <w:lvlOverride w:ilvl="2"/>
    <w:lvlOverride w:ilvl="3"/>
    <w:lvlOverride w:ilvl="4"/>
    <w:lvlOverride w:ilvl="5"/>
    <w:lvlOverride w:ilvl="6"/>
    <w:lvlOverride w:ilvl="7"/>
    <w:lvlOverride w:ilvl="8"/>
  </w:num>
  <w:num w:numId="2" w16cid:durableId="13746468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FD"/>
    <w:rsid w:val="009B4192"/>
    <w:rsid w:val="00F0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1E25"/>
  <w15:chartTrackingRefBased/>
  <w15:docId w15:val="{44EBEF35-C0D3-48EC-81F1-6A1E46B9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FD"/>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F02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7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7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7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7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7FD"/>
    <w:rPr>
      <w:rFonts w:eastAsiaTheme="majorEastAsia" w:cstheme="majorBidi"/>
      <w:color w:val="272727" w:themeColor="text1" w:themeTint="D8"/>
    </w:rPr>
  </w:style>
  <w:style w:type="paragraph" w:styleId="Title">
    <w:name w:val="Title"/>
    <w:basedOn w:val="Normal"/>
    <w:next w:val="Normal"/>
    <w:link w:val="TitleChar"/>
    <w:uiPriority w:val="10"/>
    <w:qFormat/>
    <w:rsid w:val="00F027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7FD"/>
    <w:pPr>
      <w:spacing w:before="160"/>
      <w:jc w:val="center"/>
    </w:pPr>
    <w:rPr>
      <w:i/>
      <w:iCs/>
      <w:color w:val="404040" w:themeColor="text1" w:themeTint="BF"/>
    </w:rPr>
  </w:style>
  <w:style w:type="character" w:customStyle="1" w:styleId="QuoteChar">
    <w:name w:val="Quote Char"/>
    <w:basedOn w:val="DefaultParagraphFont"/>
    <w:link w:val="Quote"/>
    <w:uiPriority w:val="29"/>
    <w:rsid w:val="00F027FD"/>
    <w:rPr>
      <w:i/>
      <w:iCs/>
      <w:color w:val="404040" w:themeColor="text1" w:themeTint="BF"/>
    </w:rPr>
  </w:style>
  <w:style w:type="paragraph" w:styleId="ListParagraph">
    <w:name w:val="List Paragraph"/>
    <w:basedOn w:val="Normal"/>
    <w:uiPriority w:val="34"/>
    <w:qFormat/>
    <w:rsid w:val="00F027FD"/>
    <w:pPr>
      <w:ind w:left="720"/>
      <w:contextualSpacing/>
    </w:pPr>
  </w:style>
  <w:style w:type="character" w:styleId="IntenseEmphasis">
    <w:name w:val="Intense Emphasis"/>
    <w:basedOn w:val="DefaultParagraphFont"/>
    <w:uiPriority w:val="21"/>
    <w:qFormat/>
    <w:rsid w:val="00F027FD"/>
    <w:rPr>
      <w:i/>
      <w:iCs/>
      <w:color w:val="0F4761" w:themeColor="accent1" w:themeShade="BF"/>
    </w:rPr>
  </w:style>
  <w:style w:type="paragraph" w:styleId="IntenseQuote">
    <w:name w:val="Intense Quote"/>
    <w:basedOn w:val="Normal"/>
    <w:next w:val="Normal"/>
    <w:link w:val="IntenseQuoteChar"/>
    <w:uiPriority w:val="30"/>
    <w:qFormat/>
    <w:rsid w:val="00F02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7FD"/>
    <w:rPr>
      <w:i/>
      <w:iCs/>
      <w:color w:val="0F4761" w:themeColor="accent1" w:themeShade="BF"/>
    </w:rPr>
  </w:style>
  <w:style w:type="character" w:styleId="IntenseReference">
    <w:name w:val="Intense Reference"/>
    <w:basedOn w:val="DefaultParagraphFont"/>
    <w:uiPriority w:val="32"/>
    <w:qFormat/>
    <w:rsid w:val="00F027FD"/>
    <w:rPr>
      <w:b/>
      <w:bCs/>
      <w:smallCaps/>
      <w:color w:val="0F4761" w:themeColor="accent1" w:themeShade="BF"/>
      <w:spacing w:val="5"/>
    </w:rPr>
  </w:style>
  <w:style w:type="character" w:styleId="Hyperlink">
    <w:name w:val="Hyperlink"/>
    <w:basedOn w:val="DefaultParagraphFont"/>
    <w:uiPriority w:val="99"/>
    <w:unhideWhenUsed/>
    <w:rsid w:val="00F027FD"/>
    <w:rPr>
      <w:color w:val="467886" w:themeColor="hyperlink"/>
      <w:u w:val="single"/>
    </w:rPr>
  </w:style>
  <w:style w:type="character" w:styleId="UnresolvedMention">
    <w:name w:val="Unresolved Mention"/>
    <w:basedOn w:val="DefaultParagraphFont"/>
    <w:uiPriority w:val="99"/>
    <w:semiHidden/>
    <w:unhideWhenUsed/>
    <w:rsid w:val="00F0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bartlett@um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Morgan</dc:creator>
  <cp:keywords/>
  <dc:description/>
  <cp:lastModifiedBy>Joyce Morgan</cp:lastModifiedBy>
  <cp:revision>1</cp:revision>
  <dcterms:created xsi:type="dcterms:W3CDTF">2025-03-04T13:38:00Z</dcterms:created>
  <dcterms:modified xsi:type="dcterms:W3CDTF">2025-03-04T13:40:00Z</dcterms:modified>
</cp:coreProperties>
</file>