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30" w:rsidRDefault="004E0D30">
      <w:pPr>
        <w:rPr>
          <w:b/>
        </w:rPr>
      </w:pPr>
    </w:p>
    <w:p w:rsidR="009D5CCB" w:rsidRDefault="009D5CCB" w:rsidP="009D5CCB">
      <w:pPr>
        <w:jc w:val="center"/>
        <w:rPr>
          <w:b/>
        </w:rPr>
      </w:pPr>
      <w:r>
        <w:rPr>
          <w:b/>
        </w:rPr>
        <w:t>Retent</w:t>
      </w:r>
      <w:r w:rsidR="00596172">
        <w:rPr>
          <w:b/>
        </w:rPr>
        <w:t>ion/Graduation Rates of Fall 201</w:t>
      </w:r>
      <w:r w:rsidR="00A54ED7">
        <w:rPr>
          <w:b/>
        </w:rPr>
        <w:t>3</w:t>
      </w:r>
      <w:r>
        <w:rPr>
          <w:b/>
        </w:rPr>
        <w:t xml:space="preserve"> Entering Transfer Students</w:t>
      </w:r>
    </w:p>
    <w:p w:rsidR="009D5CCB" w:rsidRDefault="009D5CCB" w:rsidP="009D5CCB">
      <w:pPr>
        <w:jc w:val="center"/>
        <w:rPr>
          <w:b/>
        </w:rPr>
      </w:pPr>
    </w:p>
    <w:p w:rsidR="009D5CCB" w:rsidRDefault="009D5CCB" w:rsidP="009D5CCB">
      <w:r w:rsidRPr="009D5CCB">
        <w:t>In fall 201</w:t>
      </w:r>
      <w:r w:rsidR="00CF5785">
        <w:t>3</w:t>
      </w:r>
      <w:r>
        <w:t>, 1,</w:t>
      </w:r>
      <w:r w:rsidR="00CF5785">
        <w:t>719</w:t>
      </w:r>
      <w:r>
        <w:t xml:space="preserve"> new transfer students matriculated at UMass Boston. </w:t>
      </w:r>
      <w:r w:rsidR="00CF5785">
        <w:t>Thirty-four</w:t>
      </w:r>
      <w:r>
        <w:t xml:space="preserve"> of these students had enough credits that they were able to graduate before the beginning of the fall 201</w:t>
      </w:r>
      <w:r w:rsidR="00CF5785">
        <w:t>4</w:t>
      </w:r>
      <w:r>
        <w:t xml:space="preserve"> semester. Therefore</w:t>
      </w:r>
      <w:r w:rsidR="00BA1AE2">
        <w:t>,</w:t>
      </w:r>
      <w:r>
        <w:t xml:space="preserve"> this report uses a graduated or return</w:t>
      </w:r>
      <w:r w:rsidR="005D5B3A">
        <w:t>ed</w:t>
      </w:r>
      <w:r>
        <w:t xml:space="preserve"> rate rather than a simple retention rate in order to present a more accurate picture. Overall</w:t>
      </w:r>
      <w:r w:rsidR="00BA1AE2">
        <w:t>,</w:t>
      </w:r>
      <w:r>
        <w:t xml:space="preserve"> 1,3</w:t>
      </w:r>
      <w:r w:rsidR="00CF5785">
        <w:t>48</w:t>
      </w:r>
      <w:r>
        <w:t xml:space="preserve"> of the students graduated by or returned for fall 201</w:t>
      </w:r>
      <w:r w:rsidR="00CF5785">
        <w:t>4</w:t>
      </w:r>
      <w:r>
        <w:t xml:space="preserve"> for a rate of </w:t>
      </w:r>
      <w:r w:rsidR="00CF5785">
        <w:t>78.4%</w:t>
      </w:r>
      <w:r w:rsidR="005D5B3A">
        <w:t>. This was</w:t>
      </w:r>
      <w:r w:rsidR="00CF5785">
        <w:t xml:space="preserve"> about 2 percentage points higher than the 2012 cohort which had a rate of </w:t>
      </w:r>
      <w:r>
        <w:t>76.</w:t>
      </w:r>
      <w:r w:rsidR="00F54C41">
        <w:t>3</w:t>
      </w:r>
      <w:r>
        <w:t>%</w:t>
      </w:r>
      <w:r w:rsidR="00F54C41">
        <w:t xml:space="preserve">. </w:t>
      </w:r>
      <w:r w:rsidR="00CF5785">
        <w:t xml:space="preserve">The 2013 cohort was </w:t>
      </w:r>
      <w:r w:rsidR="005D5B3A">
        <w:t>1</w:t>
      </w:r>
      <w:r w:rsidR="00CF5785">
        <w:t>09 students smaller than the 2012 cohort which had 1,828 entrants.</w:t>
      </w:r>
    </w:p>
    <w:p w:rsidR="009D5CCB" w:rsidRDefault="009D5CCB" w:rsidP="009D5CCB">
      <w:bookmarkStart w:id="0" w:name="_GoBack"/>
      <w:bookmarkEnd w:id="0"/>
    </w:p>
    <w:p w:rsidR="00D14FD2" w:rsidRDefault="00D14FD2" w:rsidP="00D14FD2">
      <w:r w:rsidRPr="00D14FD2">
        <w:t xml:space="preserve">The students entered </w:t>
      </w:r>
      <w:r>
        <w:t xml:space="preserve">with </w:t>
      </w:r>
      <w:r w:rsidRPr="00D14FD2">
        <w:t>var</w:t>
      </w:r>
      <w:r>
        <w:t xml:space="preserve">ying numbers of transfer credits. We assigned the students to one of four levels based on the numbers of </w:t>
      </w:r>
      <w:r w:rsidR="00CF5785">
        <w:t xml:space="preserve">credits they had listed in the fall 2013 enrollment files created </w:t>
      </w:r>
      <w:r>
        <w:t xml:space="preserve">after add/drop was completed. </w:t>
      </w:r>
      <w:r w:rsidRPr="00D14FD2">
        <w:t>W</w:t>
      </w:r>
      <w:r>
        <w:t>e</w:t>
      </w:r>
      <w:r w:rsidRPr="00D14FD2">
        <w:t xml:space="preserve"> set</w:t>
      </w:r>
      <w:r>
        <w:t xml:space="preserve"> fewer than 30 credits as 1</w:t>
      </w:r>
      <w:r w:rsidRPr="00D14FD2">
        <w:rPr>
          <w:vertAlign w:val="superscript"/>
        </w:rPr>
        <w:t>st</w:t>
      </w:r>
      <w:r>
        <w:t xml:space="preserve"> Year, 30 to fewer than 60 as 2</w:t>
      </w:r>
      <w:r w:rsidRPr="00D14FD2">
        <w:rPr>
          <w:vertAlign w:val="superscript"/>
        </w:rPr>
        <w:t>nd</w:t>
      </w:r>
      <w:r>
        <w:t xml:space="preserve"> Year, 60 to fewer than 90 as 3</w:t>
      </w:r>
      <w:r w:rsidRPr="00D14FD2">
        <w:rPr>
          <w:vertAlign w:val="superscript"/>
        </w:rPr>
        <w:t>rd</w:t>
      </w:r>
      <w:r>
        <w:t xml:space="preserve"> year</w:t>
      </w:r>
      <w:r w:rsidR="00BA1AE2">
        <w:t>,</w:t>
      </w:r>
      <w:r>
        <w:t xml:space="preserve"> and 90 or more as 4</w:t>
      </w:r>
      <w:r w:rsidRPr="00D14FD2">
        <w:rPr>
          <w:vertAlign w:val="superscript"/>
        </w:rPr>
        <w:t>th</w:t>
      </w:r>
      <w:r>
        <w:t xml:space="preserve"> Year. However, we lack some confidence in the accuracy of the </w:t>
      </w:r>
      <w:r w:rsidR="00CB7D07">
        <w:t>numbers of transfer credits listed in the files</w:t>
      </w:r>
      <w:r w:rsidR="00CF5785">
        <w:t xml:space="preserve">. </w:t>
      </w:r>
      <w:r w:rsidR="00CB7D07">
        <w:t>Transcripts may not have been fully evaluated by early in the semester or the students may have submitted transcripts from additional schools tha</w:t>
      </w:r>
      <w:r w:rsidR="00CF5785">
        <w:t>t</w:t>
      </w:r>
      <w:r w:rsidR="00CB7D07">
        <w:t xml:space="preserve"> they had not submitted before admission. At any rate, the graduation/retention rates for the various transfer levels as documented in the </w:t>
      </w:r>
      <w:r w:rsidR="00CF5785">
        <w:t xml:space="preserve">fall 2013 enrollment </w:t>
      </w:r>
      <w:r w:rsidR="00CB7D07">
        <w:t xml:space="preserve">file are presented in Table </w:t>
      </w:r>
      <w:r w:rsidR="002C7115">
        <w:t>1</w:t>
      </w:r>
      <w:r w:rsidR="00CB7D07">
        <w:t xml:space="preserve"> below. The differences between the groups are not statistically significant.</w:t>
      </w:r>
    </w:p>
    <w:p w:rsidR="00D14FD2" w:rsidRDefault="00D14FD2" w:rsidP="00D14FD2"/>
    <w:p w:rsidR="00D14FD2" w:rsidRDefault="00CB7D07" w:rsidP="00CF5785">
      <w:pPr>
        <w:rPr>
          <w:b/>
        </w:rPr>
      </w:pPr>
      <w:r w:rsidRPr="00CB7D07">
        <w:rPr>
          <w:b/>
        </w:rPr>
        <w:t xml:space="preserve">Table </w:t>
      </w:r>
      <w:r w:rsidR="002C7115">
        <w:rPr>
          <w:b/>
        </w:rPr>
        <w:t>1</w:t>
      </w:r>
      <w:r w:rsidRPr="00CB7D07">
        <w:rPr>
          <w:b/>
        </w:rPr>
        <w:t>:</w:t>
      </w:r>
      <w:r>
        <w:t xml:space="preserve"> </w:t>
      </w:r>
      <w:r>
        <w:rPr>
          <w:b/>
        </w:rPr>
        <w:t>Graduated or Returned</w:t>
      </w:r>
      <w:r w:rsidRPr="009805DC">
        <w:rPr>
          <w:b/>
        </w:rPr>
        <w:t xml:space="preserve"> Rates</w:t>
      </w:r>
      <w:r>
        <w:rPr>
          <w:b/>
        </w:rPr>
        <w:t xml:space="preserve"> by Transfer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2340"/>
        <w:gridCol w:w="1980"/>
      </w:tblGrid>
      <w:tr w:rsidR="00CF5785" w:rsidRPr="00CF5785" w:rsidTr="00CF5785">
        <w:trPr>
          <w:trHeight w:val="300"/>
        </w:trPr>
        <w:tc>
          <w:tcPr>
            <w:tcW w:w="2065" w:type="dxa"/>
            <w:noWrap/>
            <w:hideMark/>
          </w:tcPr>
          <w:p w:rsidR="00CF5785" w:rsidRPr="00CF5785" w:rsidRDefault="00CF5785" w:rsidP="00CF5785">
            <w:pPr>
              <w:rPr>
                <w:b/>
                <w:bCs/>
              </w:rPr>
            </w:pPr>
            <w:r w:rsidRPr="00CF5785">
              <w:rPr>
                <w:b/>
                <w:bCs/>
              </w:rPr>
              <w:t>Transfer Level</w:t>
            </w:r>
          </w:p>
        </w:tc>
        <w:tc>
          <w:tcPr>
            <w:tcW w:w="2070" w:type="dxa"/>
            <w:noWrap/>
            <w:hideMark/>
          </w:tcPr>
          <w:p w:rsidR="00CF5785" w:rsidRPr="00CF5785" w:rsidRDefault="00CF5785">
            <w:pPr>
              <w:jc w:val="center"/>
              <w:rPr>
                <w:b/>
                <w:bCs/>
              </w:rPr>
            </w:pPr>
            <w:r w:rsidRPr="00CF5785">
              <w:rPr>
                <w:b/>
                <w:bCs/>
              </w:rPr>
              <w:t>Entered</w:t>
            </w:r>
          </w:p>
        </w:tc>
        <w:tc>
          <w:tcPr>
            <w:tcW w:w="2340" w:type="dxa"/>
            <w:noWrap/>
            <w:hideMark/>
          </w:tcPr>
          <w:p w:rsidR="00CF5785" w:rsidRPr="00CF5785" w:rsidRDefault="00CF5785">
            <w:pPr>
              <w:jc w:val="center"/>
              <w:rPr>
                <w:b/>
                <w:bCs/>
              </w:rPr>
            </w:pPr>
            <w:r w:rsidRPr="00CF5785">
              <w:rPr>
                <w:b/>
                <w:bCs/>
              </w:rPr>
              <w:t>Grad. or Returned</w:t>
            </w:r>
          </w:p>
        </w:tc>
        <w:tc>
          <w:tcPr>
            <w:tcW w:w="1980" w:type="dxa"/>
            <w:noWrap/>
            <w:hideMark/>
          </w:tcPr>
          <w:p w:rsidR="00CF5785" w:rsidRPr="00CF5785" w:rsidRDefault="004A4182" w:rsidP="004A4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Grad/Return </w:t>
            </w:r>
            <w:r w:rsidR="00CF5785" w:rsidRPr="00CF5785">
              <w:rPr>
                <w:b/>
                <w:bCs/>
              </w:rPr>
              <w:t>Rate</w:t>
            </w:r>
          </w:p>
        </w:tc>
      </w:tr>
      <w:tr w:rsidR="00CF5785" w:rsidRPr="00CF5785" w:rsidTr="00CF5785">
        <w:trPr>
          <w:trHeight w:val="300"/>
        </w:trPr>
        <w:tc>
          <w:tcPr>
            <w:tcW w:w="2065" w:type="dxa"/>
            <w:noWrap/>
            <w:hideMark/>
          </w:tcPr>
          <w:p w:rsidR="00CF5785" w:rsidRPr="00CF5785" w:rsidRDefault="00CF5785" w:rsidP="00CF5785">
            <w:r w:rsidRPr="00CF5785">
              <w:t>1st Year</w:t>
            </w:r>
          </w:p>
        </w:tc>
        <w:tc>
          <w:tcPr>
            <w:tcW w:w="207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335</w:t>
            </w:r>
          </w:p>
        </w:tc>
        <w:tc>
          <w:tcPr>
            <w:tcW w:w="234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250</w:t>
            </w:r>
          </w:p>
        </w:tc>
        <w:tc>
          <w:tcPr>
            <w:tcW w:w="198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74.6%</w:t>
            </w:r>
          </w:p>
        </w:tc>
      </w:tr>
      <w:tr w:rsidR="00CF5785" w:rsidRPr="00CF5785" w:rsidTr="00CF5785">
        <w:trPr>
          <w:trHeight w:val="300"/>
        </w:trPr>
        <w:tc>
          <w:tcPr>
            <w:tcW w:w="2065" w:type="dxa"/>
            <w:noWrap/>
            <w:hideMark/>
          </w:tcPr>
          <w:p w:rsidR="00CF5785" w:rsidRPr="00CF5785" w:rsidRDefault="00CF5785" w:rsidP="00CF5785">
            <w:r w:rsidRPr="00CF5785">
              <w:t>2nd Year</w:t>
            </w:r>
          </w:p>
        </w:tc>
        <w:tc>
          <w:tcPr>
            <w:tcW w:w="207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707</w:t>
            </w:r>
          </w:p>
        </w:tc>
        <w:tc>
          <w:tcPr>
            <w:tcW w:w="234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556</w:t>
            </w:r>
          </w:p>
        </w:tc>
        <w:tc>
          <w:tcPr>
            <w:tcW w:w="198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78.6%</w:t>
            </w:r>
          </w:p>
        </w:tc>
      </w:tr>
      <w:tr w:rsidR="00CF5785" w:rsidRPr="00CF5785" w:rsidTr="00CF5785">
        <w:trPr>
          <w:trHeight w:val="300"/>
        </w:trPr>
        <w:tc>
          <w:tcPr>
            <w:tcW w:w="2065" w:type="dxa"/>
            <w:noWrap/>
            <w:hideMark/>
          </w:tcPr>
          <w:p w:rsidR="00CF5785" w:rsidRPr="00CF5785" w:rsidRDefault="00CF5785" w:rsidP="00CF5785">
            <w:r w:rsidRPr="00CF5785">
              <w:t>3rd Year</w:t>
            </w:r>
          </w:p>
        </w:tc>
        <w:tc>
          <w:tcPr>
            <w:tcW w:w="207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557</w:t>
            </w:r>
          </w:p>
        </w:tc>
        <w:tc>
          <w:tcPr>
            <w:tcW w:w="234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446</w:t>
            </w:r>
          </w:p>
        </w:tc>
        <w:tc>
          <w:tcPr>
            <w:tcW w:w="198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80.1%</w:t>
            </w:r>
          </w:p>
        </w:tc>
      </w:tr>
      <w:tr w:rsidR="00CF5785" w:rsidRPr="00CF5785" w:rsidTr="00CF5785">
        <w:trPr>
          <w:trHeight w:val="300"/>
        </w:trPr>
        <w:tc>
          <w:tcPr>
            <w:tcW w:w="2065" w:type="dxa"/>
            <w:noWrap/>
            <w:hideMark/>
          </w:tcPr>
          <w:p w:rsidR="00CF5785" w:rsidRPr="00CF5785" w:rsidRDefault="00CF5785" w:rsidP="00CF5785">
            <w:r w:rsidRPr="00CF5785">
              <w:t>4th Year</w:t>
            </w:r>
          </w:p>
        </w:tc>
        <w:tc>
          <w:tcPr>
            <w:tcW w:w="207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120</w:t>
            </w:r>
          </w:p>
        </w:tc>
        <w:tc>
          <w:tcPr>
            <w:tcW w:w="234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96</w:t>
            </w:r>
          </w:p>
        </w:tc>
        <w:tc>
          <w:tcPr>
            <w:tcW w:w="1980" w:type="dxa"/>
            <w:noWrap/>
            <w:hideMark/>
          </w:tcPr>
          <w:p w:rsidR="00CF5785" w:rsidRPr="00CF5785" w:rsidRDefault="00CF5785">
            <w:pPr>
              <w:jc w:val="center"/>
            </w:pPr>
            <w:r w:rsidRPr="00CF5785">
              <w:t>80.0%</w:t>
            </w:r>
          </w:p>
        </w:tc>
      </w:tr>
      <w:tr w:rsidR="00CF5785" w:rsidRPr="00CF5785" w:rsidTr="00CF5785">
        <w:trPr>
          <w:trHeight w:val="300"/>
        </w:trPr>
        <w:tc>
          <w:tcPr>
            <w:tcW w:w="2065" w:type="dxa"/>
            <w:noWrap/>
            <w:hideMark/>
          </w:tcPr>
          <w:p w:rsidR="00CF5785" w:rsidRPr="00CF5785" w:rsidRDefault="00CF5785" w:rsidP="00CF5785">
            <w:pPr>
              <w:rPr>
                <w:b/>
                <w:bCs/>
              </w:rPr>
            </w:pPr>
            <w:r w:rsidRPr="00CF5785">
              <w:rPr>
                <w:b/>
                <w:bCs/>
              </w:rPr>
              <w:t>Total</w:t>
            </w:r>
          </w:p>
        </w:tc>
        <w:tc>
          <w:tcPr>
            <w:tcW w:w="2070" w:type="dxa"/>
            <w:noWrap/>
            <w:hideMark/>
          </w:tcPr>
          <w:p w:rsidR="00CF5785" w:rsidRPr="00CF5785" w:rsidRDefault="00CF5785">
            <w:pPr>
              <w:jc w:val="center"/>
              <w:rPr>
                <w:b/>
                <w:bCs/>
              </w:rPr>
            </w:pPr>
            <w:r w:rsidRPr="00CF5785">
              <w:rPr>
                <w:b/>
                <w:bCs/>
              </w:rPr>
              <w:t>1,719</w:t>
            </w:r>
          </w:p>
        </w:tc>
        <w:tc>
          <w:tcPr>
            <w:tcW w:w="2340" w:type="dxa"/>
            <w:noWrap/>
            <w:hideMark/>
          </w:tcPr>
          <w:p w:rsidR="00CF5785" w:rsidRPr="00CF5785" w:rsidRDefault="00CF5785">
            <w:pPr>
              <w:jc w:val="center"/>
              <w:rPr>
                <w:b/>
                <w:bCs/>
              </w:rPr>
            </w:pPr>
            <w:r w:rsidRPr="00CF5785">
              <w:rPr>
                <w:b/>
                <w:bCs/>
              </w:rPr>
              <w:t>1,348</w:t>
            </w:r>
          </w:p>
        </w:tc>
        <w:tc>
          <w:tcPr>
            <w:tcW w:w="1980" w:type="dxa"/>
            <w:noWrap/>
            <w:hideMark/>
          </w:tcPr>
          <w:p w:rsidR="00CF5785" w:rsidRPr="00CF5785" w:rsidRDefault="00CF5785">
            <w:pPr>
              <w:jc w:val="center"/>
              <w:rPr>
                <w:b/>
                <w:bCs/>
              </w:rPr>
            </w:pPr>
            <w:r w:rsidRPr="00CF5785">
              <w:rPr>
                <w:b/>
                <w:bCs/>
              </w:rPr>
              <w:t>78.4%</w:t>
            </w:r>
          </w:p>
        </w:tc>
      </w:tr>
    </w:tbl>
    <w:p w:rsidR="001E23D3" w:rsidRDefault="001E23D3" w:rsidP="000D3A36">
      <w:pPr>
        <w:jc w:val="center"/>
        <w:rPr>
          <w:b/>
        </w:rPr>
      </w:pPr>
    </w:p>
    <w:p w:rsidR="004A4182" w:rsidRDefault="004A4182" w:rsidP="000D3A36">
      <w:pPr>
        <w:jc w:val="center"/>
        <w:rPr>
          <w:b/>
        </w:rPr>
      </w:pPr>
    </w:p>
    <w:p w:rsidR="009D5CCB" w:rsidRDefault="000D3A36" w:rsidP="000D3A36">
      <w:pPr>
        <w:jc w:val="center"/>
        <w:rPr>
          <w:b/>
        </w:rPr>
      </w:pPr>
      <w:r>
        <w:rPr>
          <w:b/>
        </w:rPr>
        <w:t>Dem</w:t>
      </w:r>
      <w:r w:rsidR="00B938C3" w:rsidRPr="00B938C3">
        <w:rPr>
          <w:b/>
        </w:rPr>
        <w:t>ographics</w:t>
      </w:r>
    </w:p>
    <w:p w:rsidR="00B938C3" w:rsidRDefault="00B938C3" w:rsidP="00B938C3">
      <w:pPr>
        <w:jc w:val="center"/>
        <w:rPr>
          <w:b/>
        </w:rPr>
      </w:pPr>
    </w:p>
    <w:p w:rsidR="001E23D3" w:rsidRDefault="001E23D3" w:rsidP="00B938C3">
      <w:r>
        <w:t>As with our freshmen</w:t>
      </w:r>
      <w:r w:rsidR="00CF5785">
        <w:t xml:space="preserve"> and as observed with fall 2012 transfers </w:t>
      </w:r>
      <w:r>
        <w:t>, among U.S. residents, immigrants were significantly more likely to return than those born in the U.S. by 8</w:t>
      </w:r>
      <w:r w:rsidR="00CF5785">
        <w:t>3.3</w:t>
      </w:r>
      <w:r>
        <w:t xml:space="preserve">% </w:t>
      </w:r>
      <w:r w:rsidR="00DD15FE">
        <w:t>t</w:t>
      </w:r>
      <w:r>
        <w:t>o 7</w:t>
      </w:r>
      <w:r w:rsidR="00CF5785">
        <w:t>7.5</w:t>
      </w:r>
      <w:r>
        <w:t>%.</w:t>
      </w:r>
    </w:p>
    <w:p w:rsidR="001E23D3" w:rsidRDefault="001E23D3" w:rsidP="00B938C3"/>
    <w:p w:rsidR="001E23D3" w:rsidRPr="00B938C3" w:rsidRDefault="00B938C3" w:rsidP="001E23D3">
      <w:r w:rsidRPr="00B938C3">
        <w:t xml:space="preserve">Although there were some observable differences in the graduated/returned rates </w:t>
      </w:r>
      <w:r w:rsidR="004A4182">
        <w:t>among</w:t>
      </w:r>
      <w:r w:rsidRPr="00B938C3">
        <w:t xml:space="preserve"> racial/ethnic groups,</w:t>
      </w:r>
      <w:r w:rsidR="00E81C38">
        <w:t xml:space="preserve"> </w:t>
      </w:r>
      <w:r w:rsidRPr="00B938C3">
        <w:t xml:space="preserve">none of the differences were statistically significant.  </w:t>
      </w:r>
      <w:r w:rsidR="001E23D3">
        <w:t xml:space="preserve">Table 2 </w:t>
      </w:r>
      <w:r w:rsidR="001E23D3">
        <w:lastRenderedPageBreak/>
        <w:t xml:space="preserve">displays the values for each group. Native Americans </w:t>
      </w:r>
      <w:r w:rsidR="00A66D33">
        <w:t xml:space="preserve">and Hawaiian/Pacific Islanders </w:t>
      </w:r>
      <w:r w:rsidR="001E23D3">
        <w:t>are not reported because of small N-size.</w:t>
      </w:r>
    </w:p>
    <w:p w:rsidR="001E23D3" w:rsidRDefault="001E23D3" w:rsidP="00B938C3"/>
    <w:p w:rsidR="004A4182" w:rsidRDefault="00B938C3" w:rsidP="004A4182">
      <w:pPr>
        <w:rPr>
          <w:b/>
        </w:rPr>
      </w:pPr>
      <w:r>
        <w:rPr>
          <w:b/>
        </w:rPr>
        <w:t xml:space="preserve">Table </w:t>
      </w:r>
      <w:r w:rsidR="002C7115">
        <w:rPr>
          <w:b/>
        </w:rPr>
        <w:t>2</w:t>
      </w:r>
      <w:r w:rsidR="00CB7D07">
        <w:rPr>
          <w:b/>
        </w:rPr>
        <w:t xml:space="preserve">: Graduated or Returned </w:t>
      </w:r>
      <w:r>
        <w:rPr>
          <w:b/>
        </w:rPr>
        <w:t>R</w:t>
      </w:r>
      <w:r w:rsidR="004A4182">
        <w:rPr>
          <w:b/>
        </w:rPr>
        <w:t xml:space="preserve">ates by Racial/Ethnic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20"/>
        <w:gridCol w:w="2250"/>
        <w:gridCol w:w="1710"/>
      </w:tblGrid>
      <w:tr w:rsidR="004A4182" w:rsidRPr="004A4182" w:rsidTr="005D5B3A">
        <w:trPr>
          <w:trHeight w:val="300"/>
        </w:trPr>
        <w:tc>
          <w:tcPr>
            <w:tcW w:w="2875" w:type="dxa"/>
            <w:noWrap/>
            <w:hideMark/>
          </w:tcPr>
          <w:p w:rsidR="004A4182" w:rsidRPr="004A4182" w:rsidRDefault="004A4182">
            <w:pPr>
              <w:rPr>
                <w:b/>
                <w:bCs/>
              </w:rPr>
            </w:pPr>
            <w:r w:rsidRPr="004A4182">
              <w:rPr>
                <w:b/>
                <w:bCs/>
              </w:rPr>
              <w:t>Group</w:t>
            </w:r>
          </w:p>
        </w:tc>
        <w:tc>
          <w:tcPr>
            <w:tcW w:w="1620" w:type="dxa"/>
            <w:noWrap/>
            <w:hideMark/>
          </w:tcPr>
          <w:p w:rsidR="004A4182" w:rsidRPr="004A4182" w:rsidRDefault="004A4182" w:rsidP="004A4182">
            <w:pPr>
              <w:jc w:val="center"/>
              <w:rPr>
                <w:b/>
                <w:bCs/>
              </w:rPr>
            </w:pPr>
            <w:r w:rsidRPr="004A4182">
              <w:rPr>
                <w:b/>
                <w:bCs/>
              </w:rPr>
              <w:t>Entered Fall 201</w:t>
            </w: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  <w:noWrap/>
            <w:hideMark/>
          </w:tcPr>
          <w:p w:rsidR="004A4182" w:rsidRPr="004A4182" w:rsidRDefault="004A4182" w:rsidP="004A4182">
            <w:pPr>
              <w:jc w:val="center"/>
              <w:rPr>
                <w:b/>
                <w:bCs/>
              </w:rPr>
            </w:pPr>
            <w:r w:rsidRPr="004A4182">
              <w:rPr>
                <w:b/>
                <w:bCs/>
              </w:rPr>
              <w:t>Grad. or Returned Fall 201</w:t>
            </w:r>
            <w:r>
              <w:rPr>
                <w:b/>
                <w:bCs/>
              </w:rPr>
              <w:t>4</w:t>
            </w:r>
          </w:p>
        </w:tc>
        <w:tc>
          <w:tcPr>
            <w:tcW w:w="1710" w:type="dxa"/>
            <w:noWrap/>
            <w:hideMark/>
          </w:tcPr>
          <w:p w:rsidR="004A4182" w:rsidRPr="004A4182" w:rsidRDefault="004A4182" w:rsidP="004A4182">
            <w:pPr>
              <w:jc w:val="center"/>
              <w:rPr>
                <w:b/>
                <w:bCs/>
              </w:rPr>
            </w:pPr>
            <w:r w:rsidRPr="004A4182">
              <w:rPr>
                <w:b/>
                <w:bCs/>
              </w:rPr>
              <w:t>Grad/Return Rate</w:t>
            </w:r>
          </w:p>
        </w:tc>
      </w:tr>
      <w:tr w:rsidR="004A4182" w:rsidRPr="004A4182" w:rsidTr="005D5B3A">
        <w:trPr>
          <w:trHeight w:val="300"/>
        </w:trPr>
        <w:tc>
          <w:tcPr>
            <w:tcW w:w="2875" w:type="dxa"/>
            <w:noWrap/>
            <w:hideMark/>
          </w:tcPr>
          <w:p w:rsidR="004A4182" w:rsidRPr="004A4182" w:rsidRDefault="004A4182">
            <w:r w:rsidRPr="004A4182">
              <w:t>Asian</w:t>
            </w:r>
          </w:p>
        </w:tc>
        <w:tc>
          <w:tcPr>
            <w:tcW w:w="162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155</w:t>
            </w:r>
          </w:p>
        </w:tc>
        <w:tc>
          <w:tcPr>
            <w:tcW w:w="225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128</w:t>
            </w:r>
          </w:p>
        </w:tc>
        <w:tc>
          <w:tcPr>
            <w:tcW w:w="171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82.6%</w:t>
            </w:r>
          </w:p>
        </w:tc>
      </w:tr>
      <w:tr w:rsidR="004A4182" w:rsidRPr="004A4182" w:rsidTr="005D5B3A">
        <w:trPr>
          <w:trHeight w:val="300"/>
        </w:trPr>
        <w:tc>
          <w:tcPr>
            <w:tcW w:w="2875" w:type="dxa"/>
            <w:noWrap/>
            <w:hideMark/>
          </w:tcPr>
          <w:p w:rsidR="004A4182" w:rsidRPr="004A4182" w:rsidRDefault="004A4182">
            <w:r w:rsidRPr="004A4182">
              <w:t>Black/African American</w:t>
            </w:r>
          </w:p>
        </w:tc>
        <w:tc>
          <w:tcPr>
            <w:tcW w:w="162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281</w:t>
            </w:r>
          </w:p>
        </w:tc>
        <w:tc>
          <w:tcPr>
            <w:tcW w:w="225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226</w:t>
            </w:r>
          </w:p>
        </w:tc>
        <w:tc>
          <w:tcPr>
            <w:tcW w:w="171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80.4%</w:t>
            </w:r>
          </w:p>
        </w:tc>
      </w:tr>
      <w:tr w:rsidR="004A4182" w:rsidRPr="004A4182" w:rsidTr="005D5B3A">
        <w:trPr>
          <w:trHeight w:val="300"/>
        </w:trPr>
        <w:tc>
          <w:tcPr>
            <w:tcW w:w="2875" w:type="dxa"/>
            <w:noWrap/>
            <w:hideMark/>
          </w:tcPr>
          <w:p w:rsidR="004A4182" w:rsidRPr="004A4182" w:rsidRDefault="004A4182">
            <w:r w:rsidRPr="004A4182">
              <w:t>Hispanic/Latino</w:t>
            </w:r>
          </w:p>
        </w:tc>
        <w:tc>
          <w:tcPr>
            <w:tcW w:w="162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216</w:t>
            </w:r>
          </w:p>
        </w:tc>
        <w:tc>
          <w:tcPr>
            <w:tcW w:w="225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170</w:t>
            </w:r>
          </w:p>
        </w:tc>
        <w:tc>
          <w:tcPr>
            <w:tcW w:w="171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78.7%</w:t>
            </w:r>
          </w:p>
        </w:tc>
      </w:tr>
      <w:tr w:rsidR="004A4182" w:rsidRPr="004A4182" w:rsidTr="005D5B3A">
        <w:trPr>
          <w:trHeight w:val="300"/>
        </w:trPr>
        <w:tc>
          <w:tcPr>
            <w:tcW w:w="2875" w:type="dxa"/>
            <w:noWrap/>
            <w:hideMark/>
          </w:tcPr>
          <w:p w:rsidR="004A4182" w:rsidRPr="004A4182" w:rsidRDefault="004A4182">
            <w:r w:rsidRPr="004A4182">
              <w:t>Non Resident Alien</w:t>
            </w:r>
          </w:p>
        </w:tc>
        <w:tc>
          <w:tcPr>
            <w:tcW w:w="162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71</w:t>
            </w:r>
          </w:p>
        </w:tc>
        <w:tc>
          <w:tcPr>
            <w:tcW w:w="225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54</w:t>
            </w:r>
          </w:p>
        </w:tc>
        <w:tc>
          <w:tcPr>
            <w:tcW w:w="171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76.1%</w:t>
            </w:r>
          </w:p>
        </w:tc>
      </w:tr>
      <w:tr w:rsidR="004A4182" w:rsidRPr="004A4182" w:rsidTr="005D5B3A">
        <w:trPr>
          <w:trHeight w:val="300"/>
        </w:trPr>
        <w:tc>
          <w:tcPr>
            <w:tcW w:w="2875" w:type="dxa"/>
            <w:noWrap/>
            <w:hideMark/>
          </w:tcPr>
          <w:p w:rsidR="004A4182" w:rsidRPr="004A4182" w:rsidRDefault="004A4182">
            <w:r w:rsidRPr="004A4182">
              <w:t>Not Specified</w:t>
            </w:r>
          </w:p>
        </w:tc>
        <w:tc>
          <w:tcPr>
            <w:tcW w:w="162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163</w:t>
            </w:r>
          </w:p>
        </w:tc>
        <w:tc>
          <w:tcPr>
            <w:tcW w:w="225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120</w:t>
            </w:r>
          </w:p>
        </w:tc>
        <w:tc>
          <w:tcPr>
            <w:tcW w:w="171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73.6%</w:t>
            </w:r>
          </w:p>
        </w:tc>
      </w:tr>
      <w:tr w:rsidR="004A4182" w:rsidRPr="004A4182" w:rsidTr="005D5B3A">
        <w:trPr>
          <w:trHeight w:val="300"/>
        </w:trPr>
        <w:tc>
          <w:tcPr>
            <w:tcW w:w="2875" w:type="dxa"/>
            <w:noWrap/>
            <w:hideMark/>
          </w:tcPr>
          <w:p w:rsidR="004A4182" w:rsidRPr="004A4182" w:rsidRDefault="004A4182">
            <w:r w:rsidRPr="004A4182">
              <w:t>Two or more races</w:t>
            </w:r>
          </w:p>
        </w:tc>
        <w:tc>
          <w:tcPr>
            <w:tcW w:w="162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54</w:t>
            </w:r>
          </w:p>
        </w:tc>
        <w:tc>
          <w:tcPr>
            <w:tcW w:w="225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36</w:t>
            </w:r>
          </w:p>
        </w:tc>
        <w:tc>
          <w:tcPr>
            <w:tcW w:w="171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66.7%</w:t>
            </w:r>
          </w:p>
        </w:tc>
      </w:tr>
      <w:tr w:rsidR="004A4182" w:rsidRPr="004A4182" w:rsidTr="005D5B3A">
        <w:trPr>
          <w:trHeight w:val="300"/>
        </w:trPr>
        <w:tc>
          <w:tcPr>
            <w:tcW w:w="2875" w:type="dxa"/>
            <w:noWrap/>
            <w:hideMark/>
          </w:tcPr>
          <w:p w:rsidR="004A4182" w:rsidRPr="004A4182" w:rsidRDefault="004A4182">
            <w:r w:rsidRPr="004A4182">
              <w:t>White</w:t>
            </w:r>
          </w:p>
        </w:tc>
        <w:tc>
          <w:tcPr>
            <w:tcW w:w="162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777</w:t>
            </w:r>
          </w:p>
        </w:tc>
        <w:tc>
          <w:tcPr>
            <w:tcW w:w="225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612</w:t>
            </w:r>
          </w:p>
        </w:tc>
        <w:tc>
          <w:tcPr>
            <w:tcW w:w="1710" w:type="dxa"/>
            <w:noWrap/>
            <w:hideMark/>
          </w:tcPr>
          <w:p w:rsidR="004A4182" w:rsidRPr="004A4182" w:rsidRDefault="004A4182" w:rsidP="004A4182">
            <w:pPr>
              <w:jc w:val="center"/>
            </w:pPr>
            <w:r w:rsidRPr="004A4182">
              <w:t>78.8%</w:t>
            </w:r>
          </w:p>
        </w:tc>
      </w:tr>
      <w:tr w:rsidR="004A4182" w:rsidRPr="004A4182" w:rsidTr="005D5B3A">
        <w:trPr>
          <w:trHeight w:val="300"/>
        </w:trPr>
        <w:tc>
          <w:tcPr>
            <w:tcW w:w="2875" w:type="dxa"/>
            <w:noWrap/>
            <w:hideMark/>
          </w:tcPr>
          <w:p w:rsidR="004A4182" w:rsidRPr="004A4182" w:rsidRDefault="004A4182">
            <w:pPr>
              <w:rPr>
                <w:b/>
                <w:bCs/>
              </w:rPr>
            </w:pPr>
            <w:r w:rsidRPr="004A4182">
              <w:rPr>
                <w:b/>
                <w:bCs/>
              </w:rPr>
              <w:t>Total</w:t>
            </w:r>
          </w:p>
        </w:tc>
        <w:tc>
          <w:tcPr>
            <w:tcW w:w="1620" w:type="dxa"/>
            <w:noWrap/>
            <w:hideMark/>
          </w:tcPr>
          <w:p w:rsidR="004A4182" w:rsidRPr="004A4182" w:rsidRDefault="004A4182" w:rsidP="004A4182">
            <w:pPr>
              <w:jc w:val="center"/>
              <w:rPr>
                <w:b/>
                <w:bCs/>
              </w:rPr>
            </w:pPr>
            <w:r w:rsidRPr="004A4182">
              <w:rPr>
                <w:b/>
                <w:bCs/>
              </w:rPr>
              <w:t>1,719</w:t>
            </w:r>
          </w:p>
        </w:tc>
        <w:tc>
          <w:tcPr>
            <w:tcW w:w="2250" w:type="dxa"/>
            <w:noWrap/>
            <w:hideMark/>
          </w:tcPr>
          <w:p w:rsidR="004A4182" w:rsidRPr="004A4182" w:rsidRDefault="004A4182" w:rsidP="004A4182">
            <w:pPr>
              <w:jc w:val="center"/>
              <w:rPr>
                <w:b/>
                <w:bCs/>
              </w:rPr>
            </w:pPr>
            <w:r w:rsidRPr="004A4182">
              <w:rPr>
                <w:b/>
                <w:bCs/>
              </w:rPr>
              <w:t>1,348</w:t>
            </w:r>
          </w:p>
        </w:tc>
        <w:tc>
          <w:tcPr>
            <w:tcW w:w="1710" w:type="dxa"/>
            <w:noWrap/>
            <w:hideMark/>
          </w:tcPr>
          <w:p w:rsidR="004A4182" w:rsidRPr="004A4182" w:rsidRDefault="004A4182" w:rsidP="004A4182">
            <w:pPr>
              <w:jc w:val="center"/>
              <w:rPr>
                <w:b/>
                <w:bCs/>
              </w:rPr>
            </w:pPr>
            <w:r w:rsidRPr="004A4182">
              <w:rPr>
                <w:b/>
                <w:bCs/>
              </w:rPr>
              <w:t>78.4%</w:t>
            </w:r>
          </w:p>
        </w:tc>
      </w:tr>
    </w:tbl>
    <w:p w:rsidR="00B938C3" w:rsidRDefault="00B938C3" w:rsidP="009D5CCB">
      <w:pPr>
        <w:jc w:val="center"/>
        <w:rPr>
          <w:b/>
        </w:rPr>
      </w:pPr>
    </w:p>
    <w:p w:rsidR="004A4182" w:rsidRDefault="004A4182" w:rsidP="009D5CCB">
      <w:pPr>
        <w:jc w:val="center"/>
        <w:rPr>
          <w:b/>
        </w:rPr>
      </w:pPr>
    </w:p>
    <w:p w:rsidR="00012725" w:rsidRDefault="006F4CF2" w:rsidP="00B938C3">
      <w:r>
        <w:t xml:space="preserve">At </w:t>
      </w:r>
      <w:r w:rsidR="00764C98">
        <w:t xml:space="preserve">about </w:t>
      </w:r>
      <w:r w:rsidR="00DD15FE">
        <w:t>3.3</w:t>
      </w:r>
      <w:r>
        <w:t xml:space="preserve"> percentage point</w:t>
      </w:r>
      <w:r w:rsidR="00C7561F">
        <w:t>s</w:t>
      </w:r>
      <w:r>
        <w:t>, t</w:t>
      </w:r>
      <w:r w:rsidR="00B938C3" w:rsidRPr="00B938C3">
        <w:t xml:space="preserve">he differences by gender </w:t>
      </w:r>
      <w:r w:rsidR="00B938C3">
        <w:t>for the overall group were</w:t>
      </w:r>
      <w:r w:rsidR="00C7561F">
        <w:t xml:space="preserve"> not</w:t>
      </w:r>
      <w:r w:rsidR="00B938C3">
        <w:t xml:space="preserve"> significant. </w:t>
      </w:r>
      <w:r w:rsidR="00012725">
        <w:t>Women graduated or returned at 79.7% compared to 76.4% for men.</w:t>
      </w:r>
    </w:p>
    <w:p w:rsidR="00012725" w:rsidRDefault="00012725" w:rsidP="00B938C3"/>
    <w:p w:rsidR="00012725" w:rsidRDefault="00C7561F" w:rsidP="00B938C3">
      <w:r>
        <w:t>D</w:t>
      </w:r>
      <w:r w:rsidR="006F4CF2">
        <w:t>ifferences by gender within racial/ethnic group</w:t>
      </w:r>
      <w:r>
        <w:t xml:space="preserve"> were </w:t>
      </w:r>
      <w:r w:rsidR="006F4CF2">
        <w:t>no</w:t>
      </w:r>
      <w:r>
        <w:t>t</w:t>
      </w:r>
      <w:r w:rsidR="006F4CF2">
        <w:t xml:space="preserve"> statistically significant</w:t>
      </w:r>
      <w:r w:rsidR="00B330FB">
        <w:t xml:space="preserve"> for men</w:t>
      </w:r>
      <w:r>
        <w:t>.</w:t>
      </w:r>
      <w:r w:rsidR="00B330FB">
        <w:t xml:space="preserve"> For women, only 67% of those who did not self-identify graduated or returned</w:t>
      </w:r>
      <w:r w:rsidR="00012725">
        <w:t>,</w:t>
      </w:r>
      <w:r w:rsidR="00B330FB">
        <w:t xml:space="preserve"> and less than 60% of the women who self-identified with two or more races graduated or returned. </w:t>
      </w:r>
      <w:r w:rsidR="00012725">
        <w:t xml:space="preserve">The rate for those selecting two or more races was significantly lower than the rates for the other groups. </w:t>
      </w:r>
    </w:p>
    <w:p w:rsidR="00012725" w:rsidRDefault="00012725" w:rsidP="00B938C3"/>
    <w:p w:rsidR="009D5CCB" w:rsidRDefault="00C7561F" w:rsidP="00B938C3">
      <w:r>
        <w:t>Nineteen student</w:t>
      </w:r>
      <w:r w:rsidR="00BA1AE2">
        <w:t>s</w:t>
      </w:r>
      <w:r>
        <w:t xml:space="preserve"> did not report gender</w:t>
      </w:r>
      <w:r w:rsidR="006F4CF2">
        <w:t>.</w:t>
      </w:r>
      <w:r w:rsidR="00DD15FE">
        <w:t xml:space="preserve"> </w:t>
      </w:r>
      <w:r w:rsidR="00B330FB">
        <w:t xml:space="preserve">Of those students, 89.5% </w:t>
      </w:r>
      <w:r w:rsidR="00DD15FE">
        <w:t>graduated or returned</w:t>
      </w:r>
      <w:r w:rsidR="00B330FB">
        <w:t xml:space="preserve"> for fall 2014</w:t>
      </w:r>
      <w:r w:rsidR="00DD15FE">
        <w:t>.</w:t>
      </w:r>
      <w:r w:rsidR="006F4CF2">
        <w:t xml:space="preserve"> </w:t>
      </w:r>
      <w:r w:rsidR="002C7115">
        <w:t>Table 3 presents the details</w:t>
      </w:r>
      <w:r w:rsidR="00B330FB">
        <w:t xml:space="preserve"> for men and women. The racial/ethnic groups for the students who did not report a gender are too small to report.</w:t>
      </w:r>
    </w:p>
    <w:p w:rsidR="00CB7D07" w:rsidRDefault="00CB7D07" w:rsidP="00B938C3">
      <w:pPr>
        <w:rPr>
          <w:b/>
        </w:rPr>
      </w:pPr>
    </w:p>
    <w:p w:rsidR="00B938C3" w:rsidRDefault="00CB7D07" w:rsidP="00B938C3">
      <w:pPr>
        <w:rPr>
          <w:b/>
        </w:rPr>
      </w:pPr>
      <w:r w:rsidRPr="00CB7D07">
        <w:rPr>
          <w:b/>
        </w:rPr>
        <w:t xml:space="preserve">Table </w:t>
      </w:r>
      <w:r w:rsidR="002C7115">
        <w:rPr>
          <w:b/>
        </w:rPr>
        <w:t>3</w:t>
      </w:r>
      <w:r w:rsidRPr="00CB7D07">
        <w:rPr>
          <w:b/>
        </w:rPr>
        <w:t>: Graduated or Returned Rate</w:t>
      </w:r>
      <w:r w:rsidR="000F404A">
        <w:rPr>
          <w:b/>
        </w:rPr>
        <w:t>s</w:t>
      </w:r>
      <w:r w:rsidRPr="00CB7D07">
        <w:rPr>
          <w:b/>
        </w:rPr>
        <w:t xml:space="preserve"> by Gender within Race/Ethnicity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0"/>
        <w:gridCol w:w="1695"/>
        <w:gridCol w:w="2160"/>
        <w:gridCol w:w="1800"/>
      </w:tblGrid>
      <w:tr w:rsidR="00B330FB" w:rsidRPr="00B330FB" w:rsidTr="005D5B3A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pPr>
              <w:rPr>
                <w:b/>
                <w:bCs/>
              </w:rPr>
            </w:pPr>
            <w:r w:rsidRPr="00B330FB">
              <w:rPr>
                <w:b/>
                <w:bCs/>
              </w:rPr>
              <w:t>Men</w:t>
            </w:r>
          </w:p>
        </w:tc>
        <w:tc>
          <w:tcPr>
            <w:tcW w:w="1695" w:type="dxa"/>
            <w:hideMark/>
          </w:tcPr>
          <w:p w:rsidR="00B330FB" w:rsidRPr="00B330FB" w:rsidRDefault="00B330FB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:rsidR="00B330FB" w:rsidRPr="00B330FB" w:rsidRDefault="00B330FB">
            <w:pPr>
              <w:rPr>
                <w:b/>
              </w:rPr>
            </w:pPr>
          </w:p>
        </w:tc>
        <w:tc>
          <w:tcPr>
            <w:tcW w:w="1800" w:type="dxa"/>
            <w:hideMark/>
          </w:tcPr>
          <w:p w:rsidR="00B330FB" w:rsidRPr="00B330FB" w:rsidRDefault="00B330FB">
            <w:pPr>
              <w:rPr>
                <w:b/>
              </w:rPr>
            </w:pPr>
          </w:p>
        </w:tc>
      </w:tr>
      <w:tr w:rsidR="00B330FB" w:rsidRPr="00B330FB" w:rsidTr="005D5B3A">
        <w:trPr>
          <w:trHeight w:val="600"/>
        </w:trPr>
        <w:tc>
          <w:tcPr>
            <w:tcW w:w="2800" w:type="dxa"/>
            <w:hideMark/>
          </w:tcPr>
          <w:p w:rsidR="00B330FB" w:rsidRPr="00B330FB" w:rsidRDefault="00B330FB">
            <w:pPr>
              <w:rPr>
                <w:b/>
                <w:bCs/>
              </w:rPr>
            </w:pPr>
            <w:r w:rsidRPr="00B330FB">
              <w:rPr>
                <w:b/>
                <w:bCs/>
              </w:rPr>
              <w:t xml:space="preserve">Group </w:t>
            </w:r>
          </w:p>
        </w:tc>
        <w:tc>
          <w:tcPr>
            <w:tcW w:w="1695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Entered Fall 2013</w:t>
            </w:r>
          </w:p>
        </w:tc>
        <w:tc>
          <w:tcPr>
            <w:tcW w:w="2160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Grad. or Returned Fall 2014</w:t>
            </w:r>
          </w:p>
        </w:tc>
        <w:tc>
          <w:tcPr>
            <w:tcW w:w="1800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Grad/Return Rate</w:t>
            </w:r>
          </w:p>
        </w:tc>
      </w:tr>
      <w:tr w:rsidR="00EC3760" w:rsidRPr="00B330FB" w:rsidTr="005D5B3A">
        <w:trPr>
          <w:trHeight w:val="300"/>
        </w:trPr>
        <w:tc>
          <w:tcPr>
            <w:tcW w:w="2800" w:type="dxa"/>
          </w:tcPr>
          <w:p w:rsidR="00EC3760" w:rsidRPr="00B330FB" w:rsidRDefault="00EC3760" w:rsidP="00EC3760">
            <w:r>
              <w:t>Asian</w:t>
            </w:r>
          </w:p>
        </w:tc>
        <w:tc>
          <w:tcPr>
            <w:tcW w:w="1695" w:type="dxa"/>
          </w:tcPr>
          <w:p w:rsidR="00EC3760" w:rsidRPr="00B330FB" w:rsidRDefault="00EC3760" w:rsidP="00B330FB">
            <w:pPr>
              <w:jc w:val="center"/>
            </w:pPr>
            <w:r>
              <w:t>76</w:t>
            </w:r>
          </w:p>
        </w:tc>
        <w:tc>
          <w:tcPr>
            <w:tcW w:w="2160" w:type="dxa"/>
          </w:tcPr>
          <w:p w:rsidR="00EC3760" w:rsidRPr="00B330FB" w:rsidRDefault="00EC3760" w:rsidP="00B330FB">
            <w:pPr>
              <w:jc w:val="center"/>
            </w:pPr>
            <w:r>
              <w:t>60</w:t>
            </w:r>
          </w:p>
        </w:tc>
        <w:tc>
          <w:tcPr>
            <w:tcW w:w="1800" w:type="dxa"/>
          </w:tcPr>
          <w:p w:rsidR="00EC3760" w:rsidRPr="00B330FB" w:rsidRDefault="00EC3760" w:rsidP="00B330FB">
            <w:pPr>
              <w:jc w:val="center"/>
            </w:pPr>
            <w:r>
              <w:t>79.0%</w:t>
            </w:r>
          </w:p>
        </w:tc>
      </w:tr>
      <w:tr w:rsidR="00B330FB" w:rsidRPr="00B330FB" w:rsidTr="005D5B3A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Black/African American</w:t>
            </w:r>
          </w:p>
        </w:tc>
        <w:tc>
          <w:tcPr>
            <w:tcW w:w="16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102</w:t>
            </w:r>
          </w:p>
        </w:tc>
        <w:tc>
          <w:tcPr>
            <w:tcW w:w="216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81</w:t>
            </w:r>
          </w:p>
        </w:tc>
        <w:tc>
          <w:tcPr>
            <w:tcW w:w="180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79.4%</w:t>
            </w:r>
          </w:p>
        </w:tc>
      </w:tr>
      <w:tr w:rsidR="00B330FB" w:rsidRPr="00B330FB" w:rsidTr="005D5B3A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Hispanic/Latino</w:t>
            </w:r>
          </w:p>
        </w:tc>
        <w:tc>
          <w:tcPr>
            <w:tcW w:w="16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81</w:t>
            </w:r>
          </w:p>
        </w:tc>
        <w:tc>
          <w:tcPr>
            <w:tcW w:w="216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63</w:t>
            </w:r>
          </w:p>
        </w:tc>
        <w:tc>
          <w:tcPr>
            <w:tcW w:w="180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77.8%</w:t>
            </w:r>
          </w:p>
        </w:tc>
      </w:tr>
      <w:tr w:rsidR="00B330FB" w:rsidRPr="00B330FB" w:rsidTr="005D5B3A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Non Resident Alien</w:t>
            </w:r>
          </w:p>
        </w:tc>
        <w:tc>
          <w:tcPr>
            <w:tcW w:w="16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39</w:t>
            </w:r>
          </w:p>
        </w:tc>
        <w:tc>
          <w:tcPr>
            <w:tcW w:w="216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28</w:t>
            </w:r>
          </w:p>
        </w:tc>
        <w:tc>
          <w:tcPr>
            <w:tcW w:w="180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71.8%</w:t>
            </w:r>
          </w:p>
        </w:tc>
      </w:tr>
      <w:tr w:rsidR="00B330FB" w:rsidRPr="00B330FB" w:rsidTr="005D5B3A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Not Specified</w:t>
            </w:r>
          </w:p>
        </w:tc>
        <w:tc>
          <w:tcPr>
            <w:tcW w:w="16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69</w:t>
            </w:r>
          </w:p>
        </w:tc>
        <w:tc>
          <w:tcPr>
            <w:tcW w:w="216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55</w:t>
            </w:r>
          </w:p>
        </w:tc>
        <w:tc>
          <w:tcPr>
            <w:tcW w:w="180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79.7%</w:t>
            </w:r>
          </w:p>
        </w:tc>
      </w:tr>
      <w:tr w:rsidR="00B330FB" w:rsidRPr="00B330FB" w:rsidTr="005D5B3A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Two or more races</w:t>
            </w:r>
          </w:p>
        </w:tc>
        <w:tc>
          <w:tcPr>
            <w:tcW w:w="16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22</w:t>
            </w:r>
          </w:p>
        </w:tc>
        <w:tc>
          <w:tcPr>
            <w:tcW w:w="216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17</w:t>
            </w:r>
          </w:p>
        </w:tc>
        <w:tc>
          <w:tcPr>
            <w:tcW w:w="180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77.3%</w:t>
            </w:r>
          </w:p>
        </w:tc>
      </w:tr>
      <w:tr w:rsidR="00B330FB" w:rsidRPr="00B330FB" w:rsidTr="005D5B3A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White</w:t>
            </w:r>
          </w:p>
        </w:tc>
        <w:tc>
          <w:tcPr>
            <w:tcW w:w="16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317</w:t>
            </w:r>
          </w:p>
        </w:tc>
        <w:tc>
          <w:tcPr>
            <w:tcW w:w="216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235</w:t>
            </w:r>
          </w:p>
        </w:tc>
        <w:tc>
          <w:tcPr>
            <w:tcW w:w="180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74.1%</w:t>
            </w:r>
          </w:p>
        </w:tc>
      </w:tr>
      <w:tr w:rsidR="00B330FB" w:rsidRPr="00B330FB" w:rsidTr="005D5B3A">
        <w:trPr>
          <w:trHeight w:val="300"/>
        </w:trPr>
        <w:tc>
          <w:tcPr>
            <w:tcW w:w="2800" w:type="dxa"/>
            <w:hideMark/>
          </w:tcPr>
          <w:p w:rsidR="00B330FB" w:rsidRPr="00B330FB" w:rsidRDefault="00EC37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 </w:t>
            </w:r>
            <w:r w:rsidR="00B330FB" w:rsidRPr="00B330FB">
              <w:rPr>
                <w:b/>
                <w:bCs/>
              </w:rPr>
              <w:t>Total</w:t>
            </w:r>
          </w:p>
        </w:tc>
        <w:tc>
          <w:tcPr>
            <w:tcW w:w="1695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707</w:t>
            </w:r>
          </w:p>
        </w:tc>
        <w:tc>
          <w:tcPr>
            <w:tcW w:w="2160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540</w:t>
            </w:r>
          </w:p>
        </w:tc>
        <w:tc>
          <w:tcPr>
            <w:tcW w:w="1800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76.4%</w:t>
            </w:r>
          </w:p>
        </w:tc>
      </w:tr>
    </w:tbl>
    <w:p w:rsidR="00B330FB" w:rsidRDefault="00B330FB">
      <w:r>
        <w:t>Continued</w:t>
      </w:r>
    </w:p>
    <w:p w:rsidR="00B330FB" w:rsidRDefault="00B330FB"/>
    <w:p w:rsidR="00B330FB" w:rsidRDefault="00B330FB"/>
    <w:p w:rsidR="00B330FB" w:rsidRDefault="00B330FB" w:rsidP="00B330FB">
      <w:pPr>
        <w:rPr>
          <w:b/>
        </w:rPr>
      </w:pPr>
      <w:r w:rsidRPr="00CB7D07">
        <w:rPr>
          <w:b/>
        </w:rPr>
        <w:lastRenderedPageBreak/>
        <w:t xml:space="preserve">Table </w:t>
      </w:r>
      <w:r>
        <w:rPr>
          <w:b/>
        </w:rPr>
        <w:t>3</w:t>
      </w:r>
      <w:r w:rsidRPr="00CB7D07">
        <w:rPr>
          <w:b/>
        </w:rPr>
        <w:t>: Graduated or Returned Rate</w:t>
      </w:r>
      <w:r>
        <w:rPr>
          <w:b/>
        </w:rPr>
        <w:t>s</w:t>
      </w:r>
      <w:r w:rsidRPr="00CB7D07">
        <w:rPr>
          <w:b/>
        </w:rPr>
        <w:t xml:space="preserve"> by Gender within Race/Ethnicity</w:t>
      </w:r>
      <w:r w:rsidR="00EC3760">
        <w:rPr>
          <w:b/>
        </w:rPr>
        <w:t xml:space="preserve"> </w:t>
      </w:r>
      <w:r w:rsidR="00EC3760" w:rsidRPr="00EC3760">
        <w:t>(continued)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0"/>
        <w:gridCol w:w="1840"/>
        <w:gridCol w:w="2195"/>
        <w:gridCol w:w="1710"/>
      </w:tblGrid>
      <w:tr w:rsidR="00B330FB" w:rsidRPr="00B330FB" w:rsidTr="00B330FB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pPr>
              <w:rPr>
                <w:b/>
                <w:bCs/>
              </w:rPr>
            </w:pPr>
            <w:r w:rsidRPr="00B330FB">
              <w:rPr>
                <w:b/>
                <w:bCs/>
              </w:rPr>
              <w:t>Women</w:t>
            </w:r>
          </w:p>
        </w:tc>
        <w:tc>
          <w:tcPr>
            <w:tcW w:w="1840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</w:rPr>
            </w:pPr>
          </w:p>
        </w:tc>
        <w:tc>
          <w:tcPr>
            <w:tcW w:w="1710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</w:rPr>
            </w:pPr>
          </w:p>
        </w:tc>
      </w:tr>
      <w:tr w:rsidR="00B330FB" w:rsidRPr="00B330FB" w:rsidTr="00B330FB">
        <w:trPr>
          <w:trHeight w:val="600"/>
        </w:trPr>
        <w:tc>
          <w:tcPr>
            <w:tcW w:w="2800" w:type="dxa"/>
            <w:hideMark/>
          </w:tcPr>
          <w:p w:rsidR="00B330FB" w:rsidRPr="00B330FB" w:rsidRDefault="00B330FB">
            <w:pPr>
              <w:rPr>
                <w:b/>
                <w:bCs/>
              </w:rPr>
            </w:pPr>
            <w:r w:rsidRPr="00B330FB">
              <w:rPr>
                <w:b/>
                <w:bCs/>
              </w:rPr>
              <w:t xml:space="preserve">Group </w:t>
            </w:r>
          </w:p>
        </w:tc>
        <w:tc>
          <w:tcPr>
            <w:tcW w:w="1840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Entered Fall 2013</w:t>
            </w:r>
          </w:p>
        </w:tc>
        <w:tc>
          <w:tcPr>
            <w:tcW w:w="2195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Grad. or Returned Fall 2014</w:t>
            </w:r>
          </w:p>
        </w:tc>
        <w:tc>
          <w:tcPr>
            <w:tcW w:w="1710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Grad/Return Rate</w:t>
            </w:r>
          </w:p>
        </w:tc>
      </w:tr>
      <w:tr w:rsidR="00EC3760" w:rsidRPr="00B330FB" w:rsidTr="00B330FB">
        <w:trPr>
          <w:trHeight w:val="300"/>
        </w:trPr>
        <w:tc>
          <w:tcPr>
            <w:tcW w:w="2800" w:type="dxa"/>
          </w:tcPr>
          <w:p w:rsidR="00EC3760" w:rsidRPr="00B330FB" w:rsidRDefault="00EC3760">
            <w:r>
              <w:t>Asian</w:t>
            </w:r>
          </w:p>
        </w:tc>
        <w:tc>
          <w:tcPr>
            <w:tcW w:w="1840" w:type="dxa"/>
          </w:tcPr>
          <w:p w:rsidR="00EC3760" w:rsidRPr="00B330FB" w:rsidRDefault="00EC3760" w:rsidP="00B330FB">
            <w:pPr>
              <w:jc w:val="center"/>
            </w:pPr>
            <w:r>
              <w:t>77</w:t>
            </w:r>
          </w:p>
        </w:tc>
        <w:tc>
          <w:tcPr>
            <w:tcW w:w="2195" w:type="dxa"/>
          </w:tcPr>
          <w:p w:rsidR="00EC3760" w:rsidRPr="00B330FB" w:rsidRDefault="00EC3760" w:rsidP="00B330FB">
            <w:pPr>
              <w:jc w:val="center"/>
            </w:pPr>
            <w:r>
              <w:t>66</w:t>
            </w:r>
          </w:p>
        </w:tc>
        <w:tc>
          <w:tcPr>
            <w:tcW w:w="1710" w:type="dxa"/>
          </w:tcPr>
          <w:p w:rsidR="00EC3760" w:rsidRPr="00B330FB" w:rsidRDefault="00EC3760" w:rsidP="00B330FB">
            <w:pPr>
              <w:jc w:val="center"/>
            </w:pPr>
            <w:r>
              <w:t>85.7%</w:t>
            </w:r>
          </w:p>
        </w:tc>
      </w:tr>
      <w:tr w:rsidR="00B330FB" w:rsidRPr="00B330FB" w:rsidTr="00B330FB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Black/African American</w:t>
            </w:r>
          </w:p>
        </w:tc>
        <w:tc>
          <w:tcPr>
            <w:tcW w:w="184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175</w:t>
            </w:r>
          </w:p>
        </w:tc>
        <w:tc>
          <w:tcPr>
            <w:tcW w:w="21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142</w:t>
            </w:r>
          </w:p>
        </w:tc>
        <w:tc>
          <w:tcPr>
            <w:tcW w:w="171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81.1%</w:t>
            </w:r>
          </w:p>
        </w:tc>
      </w:tr>
      <w:tr w:rsidR="00B330FB" w:rsidRPr="00B330FB" w:rsidTr="00B330FB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Hispanic/Latino</w:t>
            </w:r>
          </w:p>
        </w:tc>
        <w:tc>
          <w:tcPr>
            <w:tcW w:w="184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133</w:t>
            </w:r>
          </w:p>
        </w:tc>
        <w:tc>
          <w:tcPr>
            <w:tcW w:w="21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105</w:t>
            </w:r>
          </w:p>
        </w:tc>
        <w:tc>
          <w:tcPr>
            <w:tcW w:w="171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78.9%</w:t>
            </w:r>
          </w:p>
        </w:tc>
      </w:tr>
      <w:tr w:rsidR="00B330FB" w:rsidRPr="00B330FB" w:rsidTr="00B330FB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Non Resident Alien</w:t>
            </w:r>
          </w:p>
        </w:tc>
        <w:tc>
          <w:tcPr>
            <w:tcW w:w="184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30</w:t>
            </w:r>
          </w:p>
        </w:tc>
        <w:tc>
          <w:tcPr>
            <w:tcW w:w="21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24</w:t>
            </w:r>
          </w:p>
        </w:tc>
        <w:tc>
          <w:tcPr>
            <w:tcW w:w="171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80.0%</w:t>
            </w:r>
          </w:p>
        </w:tc>
      </w:tr>
      <w:tr w:rsidR="00B330FB" w:rsidRPr="00B330FB" w:rsidTr="00B330FB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Not Specified</w:t>
            </w:r>
          </w:p>
        </w:tc>
        <w:tc>
          <w:tcPr>
            <w:tcW w:w="184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88</w:t>
            </w:r>
          </w:p>
        </w:tc>
        <w:tc>
          <w:tcPr>
            <w:tcW w:w="21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59</w:t>
            </w:r>
          </w:p>
        </w:tc>
        <w:tc>
          <w:tcPr>
            <w:tcW w:w="171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67.0%</w:t>
            </w:r>
          </w:p>
        </w:tc>
      </w:tr>
      <w:tr w:rsidR="00B330FB" w:rsidRPr="00B330FB" w:rsidTr="00B330FB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Two or more races</w:t>
            </w:r>
          </w:p>
        </w:tc>
        <w:tc>
          <w:tcPr>
            <w:tcW w:w="184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32</w:t>
            </w:r>
          </w:p>
        </w:tc>
        <w:tc>
          <w:tcPr>
            <w:tcW w:w="21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19</w:t>
            </w:r>
          </w:p>
        </w:tc>
        <w:tc>
          <w:tcPr>
            <w:tcW w:w="171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59.4%</w:t>
            </w:r>
          </w:p>
        </w:tc>
      </w:tr>
      <w:tr w:rsidR="00B330FB" w:rsidRPr="00B330FB" w:rsidTr="00B330FB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r w:rsidRPr="00B330FB">
              <w:t>White</w:t>
            </w:r>
          </w:p>
        </w:tc>
        <w:tc>
          <w:tcPr>
            <w:tcW w:w="184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457</w:t>
            </w:r>
          </w:p>
        </w:tc>
        <w:tc>
          <w:tcPr>
            <w:tcW w:w="2195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375</w:t>
            </w:r>
          </w:p>
        </w:tc>
        <w:tc>
          <w:tcPr>
            <w:tcW w:w="1710" w:type="dxa"/>
            <w:hideMark/>
          </w:tcPr>
          <w:p w:rsidR="00B330FB" w:rsidRPr="00B330FB" w:rsidRDefault="00B330FB" w:rsidP="00B330FB">
            <w:pPr>
              <w:jc w:val="center"/>
            </w:pPr>
            <w:r w:rsidRPr="00B330FB">
              <w:t>82.1%</w:t>
            </w:r>
          </w:p>
        </w:tc>
      </w:tr>
      <w:tr w:rsidR="00B330FB" w:rsidRPr="00B330FB" w:rsidTr="00B330FB">
        <w:trPr>
          <w:trHeight w:val="300"/>
        </w:trPr>
        <w:tc>
          <w:tcPr>
            <w:tcW w:w="2800" w:type="dxa"/>
            <w:hideMark/>
          </w:tcPr>
          <w:p w:rsidR="00B330FB" w:rsidRPr="00B330FB" w:rsidRDefault="00B330FB">
            <w:pPr>
              <w:rPr>
                <w:b/>
                <w:bCs/>
              </w:rPr>
            </w:pPr>
            <w:r w:rsidRPr="00B330FB">
              <w:rPr>
                <w:b/>
                <w:bCs/>
              </w:rPr>
              <w:t>Total</w:t>
            </w:r>
          </w:p>
        </w:tc>
        <w:tc>
          <w:tcPr>
            <w:tcW w:w="1840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993</w:t>
            </w:r>
          </w:p>
        </w:tc>
        <w:tc>
          <w:tcPr>
            <w:tcW w:w="2195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791</w:t>
            </w:r>
          </w:p>
        </w:tc>
        <w:tc>
          <w:tcPr>
            <w:tcW w:w="1710" w:type="dxa"/>
            <w:hideMark/>
          </w:tcPr>
          <w:p w:rsidR="00B330FB" w:rsidRPr="00B330FB" w:rsidRDefault="00B330FB" w:rsidP="00B330FB">
            <w:pPr>
              <w:jc w:val="center"/>
              <w:rPr>
                <w:b/>
                <w:bCs/>
              </w:rPr>
            </w:pPr>
            <w:r w:rsidRPr="00B330FB">
              <w:rPr>
                <w:b/>
                <w:bCs/>
              </w:rPr>
              <w:t>79.7%</w:t>
            </w:r>
          </w:p>
        </w:tc>
      </w:tr>
    </w:tbl>
    <w:p w:rsidR="000A4CF0" w:rsidRDefault="000A4CF0" w:rsidP="00B938C3">
      <w:pPr>
        <w:rPr>
          <w:b/>
        </w:rPr>
      </w:pPr>
    </w:p>
    <w:p w:rsidR="00EC3760" w:rsidRDefault="00EC3760" w:rsidP="009D5CCB">
      <w:pPr>
        <w:jc w:val="center"/>
        <w:rPr>
          <w:b/>
        </w:rPr>
      </w:pPr>
    </w:p>
    <w:p w:rsidR="00B938C3" w:rsidRDefault="00981079" w:rsidP="009D5CCB">
      <w:pPr>
        <w:jc w:val="center"/>
        <w:rPr>
          <w:b/>
        </w:rPr>
      </w:pPr>
      <w:r>
        <w:rPr>
          <w:b/>
        </w:rPr>
        <w:t>Academic Factors</w:t>
      </w:r>
    </w:p>
    <w:p w:rsidR="000D3A36" w:rsidRDefault="000D3A36" w:rsidP="00981079"/>
    <w:p w:rsidR="00406F2F" w:rsidRDefault="00981079" w:rsidP="00981079">
      <w:r w:rsidRPr="00981079">
        <w:t>Transfer GPA was significantly and positively re</w:t>
      </w:r>
      <w:r>
        <w:t>lated to graduation/retention. However, the effect was not particu</w:t>
      </w:r>
      <w:r w:rsidR="000D3A36">
        <w:t>l</w:t>
      </w:r>
      <w:r>
        <w:t xml:space="preserve">arly strong. </w:t>
      </w:r>
      <w:r w:rsidR="00365CA6">
        <w:t>For example, s</w:t>
      </w:r>
      <w:r>
        <w:t>tudents enterin</w:t>
      </w:r>
      <w:r w:rsidR="000D3A36">
        <w:t>g with a 3.5 or better GPA graduated/returned at a</w:t>
      </w:r>
      <w:r w:rsidR="00E07377">
        <w:t xml:space="preserve"> rate of</w:t>
      </w:r>
      <w:r w:rsidR="000D3A36">
        <w:t xml:space="preserve"> 8</w:t>
      </w:r>
      <w:r w:rsidR="00CE094E">
        <w:t>4.7</w:t>
      </w:r>
      <w:r w:rsidR="000D3A36">
        <w:t xml:space="preserve">% rate compared to </w:t>
      </w:r>
      <w:r w:rsidR="00CE094E">
        <w:t>83.1%</w:t>
      </w:r>
      <w:r w:rsidR="000D3A36">
        <w:t xml:space="preserve"> for those with </w:t>
      </w:r>
      <w:r w:rsidR="00E07377">
        <w:t>a</w:t>
      </w:r>
      <w:r w:rsidR="00EC3760">
        <w:t xml:space="preserve"> transfer</w:t>
      </w:r>
      <w:r w:rsidR="00E07377">
        <w:t xml:space="preserve"> GPA of </w:t>
      </w:r>
      <w:r w:rsidR="00EC3760">
        <w:t xml:space="preserve">less than </w:t>
      </w:r>
      <w:r w:rsidR="000D3A36">
        <w:t>2.</w:t>
      </w:r>
      <w:r w:rsidR="00E07377">
        <w:t>5</w:t>
      </w:r>
      <w:r w:rsidR="00EC3760">
        <w:t>.</w:t>
      </w:r>
      <w:r w:rsidR="00E07377">
        <w:t xml:space="preserve"> Overall, those who graduated/returned had transfer GPAs less than 0.1 points higher than those who did not. </w:t>
      </w:r>
      <w:r w:rsidR="000D3A36">
        <w:t xml:space="preserve">  </w:t>
      </w:r>
    </w:p>
    <w:p w:rsidR="00406F2F" w:rsidRDefault="00406F2F" w:rsidP="00981079"/>
    <w:p w:rsidR="002633CA" w:rsidRDefault="000D3A36" w:rsidP="00981079">
      <w:r>
        <w:t>A total of</w:t>
      </w:r>
      <w:r w:rsidR="00E07377">
        <w:t xml:space="preserve"> </w:t>
      </w:r>
      <w:r w:rsidR="00314FCD">
        <w:t>575</w:t>
      </w:r>
      <w:r>
        <w:t xml:space="preserve"> transfers submitted SAT scores. </w:t>
      </w:r>
      <w:r w:rsidR="00E07377">
        <w:t>Those who submitted SATs averaged about 4</w:t>
      </w:r>
      <w:r w:rsidR="00314FCD">
        <w:t>5</w:t>
      </w:r>
      <w:r w:rsidR="00E07377">
        <w:t xml:space="preserve"> transfer credits</w:t>
      </w:r>
      <w:r w:rsidR="00314FCD">
        <w:t xml:space="preserve"> compared to 55 credits for those who did not submit SAT scores. Those who submitted SAT scores were significantly more likely to return than those who did not at 83.1% compared to 76.0% for those who did not.  For students who submitted SAT scores, neither Verbal nor Math scores were significantly related to graduation or returning.</w:t>
      </w:r>
    </w:p>
    <w:p w:rsidR="00314FCD" w:rsidRDefault="00314FCD" w:rsidP="00981079"/>
    <w:p w:rsidR="00314FCD" w:rsidRDefault="00314FCD" w:rsidP="00981079">
      <w:r>
        <w:t xml:space="preserve">The number of credits at matriculation was positively and significantly related to return/graduation with those returning/graduating averaging 52.5 credits compared to 49.1 credits for those who would not graduate or return. </w:t>
      </w:r>
    </w:p>
    <w:p w:rsidR="00314FCD" w:rsidRDefault="00314FCD" w:rsidP="008A3C90"/>
    <w:p w:rsidR="008A3C90" w:rsidRDefault="000D3A36" w:rsidP="008A3C90">
      <w:pPr>
        <w:rPr>
          <w:b/>
        </w:rPr>
      </w:pPr>
      <w:r>
        <w:t>The number of credits attempted in the first semester was significantly and positively related to graduation/retention.</w:t>
      </w:r>
      <w:r w:rsidR="00406F2F">
        <w:t xml:space="preserve"> Using the full time mark of 12 credits, students who were full-time graduated/returned at </w:t>
      </w:r>
      <w:r w:rsidR="0001324B">
        <w:t xml:space="preserve">a </w:t>
      </w:r>
      <w:r w:rsidR="002633CA">
        <w:t>rate of 8</w:t>
      </w:r>
      <w:r w:rsidR="00180860">
        <w:t>2</w:t>
      </w:r>
      <w:r w:rsidR="002633CA">
        <w:t>.</w:t>
      </w:r>
      <w:r w:rsidR="00180860">
        <w:t>5</w:t>
      </w:r>
      <w:r w:rsidR="00406F2F">
        <w:t>% compared to 6</w:t>
      </w:r>
      <w:r w:rsidR="00180860">
        <w:t xml:space="preserve">7.8% </w:t>
      </w:r>
      <w:r w:rsidR="00406F2F">
        <w:t>for part</w:t>
      </w:r>
      <w:r w:rsidR="008A3C90">
        <w:t>-</w:t>
      </w:r>
      <w:r w:rsidR="00406F2F">
        <w:t xml:space="preserve">time. </w:t>
      </w:r>
      <w:r w:rsidR="00B6079D">
        <w:t>Those who attempted 15 or more credits in the first semester did even better with a graduated/returned rate of 85.3%.</w:t>
      </w:r>
    </w:p>
    <w:p w:rsidR="00180860" w:rsidRDefault="00180860" w:rsidP="009D5CCB">
      <w:pPr>
        <w:jc w:val="center"/>
        <w:rPr>
          <w:b/>
        </w:rPr>
      </w:pPr>
    </w:p>
    <w:p w:rsidR="009D5CCB" w:rsidRPr="00011A28" w:rsidRDefault="009D5CCB" w:rsidP="009D5CCB">
      <w:pPr>
        <w:jc w:val="center"/>
        <w:rPr>
          <w:b/>
        </w:rPr>
      </w:pPr>
      <w:r w:rsidRPr="00011A28">
        <w:rPr>
          <w:b/>
        </w:rPr>
        <w:t>Previous School Attended</w:t>
      </w:r>
    </w:p>
    <w:p w:rsidR="009D5CCB" w:rsidRDefault="009D5CCB" w:rsidP="009D5CCB"/>
    <w:p w:rsidR="009D5CCB" w:rsidRDefault="009D5CCB" w:rsidP="009D5CCB">
      <w:r>
        <w:t>The information about the previous schools attended is set at the time we create the admissions file after add/drop.  Students are able to submit additional information after that time. The new information can include request</w:t>
      </w:r>
      <w:r w:rsidR="00406F2F">
        <w:t>s</w:t>
      </w:r>
      <w:r>
        <w:t xml:space="preserve"> for additional coursework to be </w:t>
      </w:r>
      <w:r>
        <w:lastRenderedPageBreak/>
        <w:t xml:space="preserve">considered for transfer credits or even </w:t>
      </w:r>
      <w:r w:rsidR="00406F2F">
        <w:t xml:space="preserve">complete </w:t>
      </w:r>
      <w:r>
        <w:t xml:space="preserve">transcripts from previously unlisted schools. Therefore, it is likely that some of this information is inaccurate. </w:t>
      </w:r>
    </w:p>
    <w:p w:rsidR="009D5CCB" w:rsidRDefault="009D5CCB" w:rsidP="009D5CCB"/>
    <w:p w:rsidR="009D5CCB" w:rsidRDefault="009D5CCB" w:rsidP="009D5CCB">
      <w:r>
        <w:t xml:space="preserve">A total of </w:t>
      </w:r>
      <w:r w:rsidR="00B73D43">
        <w:t>1,0</w:t>
      </w:r>
      <w:r w:rsidR="003806F7">
        <w:t>05</w:t>
      </w:r>
      <w:r>
        <w:t xml:space="preserve"> transfers had a two-year school listed as their most recent </w:t>
      </w:r>
      <w:r w:rsidR="00406F2F">
        <w:t xml:space="preserve">school </w:t>
      </w:r>
      <w:r>
        <w:t xml:space="preserve">prior to matriculation at </w:t>
      </w:r>
      <w:r w:rsidR="008A3C90">
        <w:t>U</w:t>
      </w:r>
      <w:r>
        <w:t xml:space="preserve">Mass Boston. Of the </w:t>
      </w:r>
      <w:r w:rsidR="00B73D43">
        <w:t>1,0</w:t>
      </w:r>
      <w:r w:rsidR="003806F7">
        <w:t>05</w:t>
      </w:r>
      <w:r>
        <w:t>, 7</w:t>
      </w:r>
      <w:r w:rsidR="00B73D43">
        <w:t>8</w:t>
      </w:r>
      <w:r w:rsidR="003806F7">
        <w:t>0</w:t>
      </w:r>
      <w:r>
        <w:t xml:space="preserve"> had either graduated by or returned for fall 201</w:t>
      </w:r>
      <w:r w:rsidR="00513BE3">
        <w:t>4</w:t>
      </w:r>
      <w:r w:rsidR="006A475F">
        <w:t xml:space="preserve"> </w:t>
      </w:r>
      <w:r>
        <w:t>for a graduated or returned rate of 7</w:t>
      </w:r>
      <w:r w:rsidR="003806F7">
        <w:t>7.6</w:t>
      </w:r>
      <w:r>
        <w:t xml:space="preserve">%. The numbers of students entering </w:t>
      </w:r>
      <w:r w:rsidR="00406F2F">
        <w:t>and</w:t>
      </w:r>
      <w:r>
        <w:t xml:space="preserve"> graduating or returning and the rates are listed in Table </w:t>
      </w:r>
      <w:r w:rsidR="002C7115">
        <w:t>4</w:t>
      </w:r>
      <w:r w:rsidR="00513BE3">
        <w:t xml:space="preserve"> </w:t>
      </w:r>
      <w:r>
        <w:t xml:space="preserve">for each </w:t>
      </w:r>
      <w:r w:rsidR="00B73D43">
        <w:t xml:space="preserve">two-year </w:t>
      </w:r>
      <w:r>
        <w:t>school sending at least 10 transfers</w:t>
      </w:r>
      <w:r w:rsidR="008A3C90">
        <w:t>.</w:t>
      </w:r>
      <w:r>
        <w:t xml:space="preserve">    </w:t>
      </w:r>
    </w:p>
    <w:p w:rsidR="00406F2F" w:rsidRDefault="00406F2F" w:rsidP="00406F2F"/>
    <w:p w:rsidR="00406F2F" w:rsidRDefault="00406F2F" w:rsidP="009D5CCB"/>
    <w:p w:rsidR="009D5CCB" w:rsidRPr="009805DC" w:rsidRDefault="009D5CCB" w:rsidP="009D5CCB">
      <w:pPr>
        <w:rPr>
          <w:b/>
        </w:rPr>
      </w:pPr>
      <w:r>
        <w:rPr>
          <w:b/>
        </w:rPr>
        <w:t xml:space="preserve">Table </w:t>
      </w:r>
      <w:r w:rsidR="002C7115">
        <w:rPr>
          <w:b/>
        </w:rPr>
        <w:t>4</w:t>
      </w:r>
      <w:r>
        <w:rPr>
          <w:b/>
        </w:rPr>
        <w:t xml:space="preserve">: </w:t>
      </w:r>
      <w:r w:rsidR="000F404A">
        <w:rPr>
          <w:b/>
        </w:rPr>
        <w:t xml:space="preserve">Graduated or </w:t>
      </w:r>
      <w:r w:rsidRPr="009805DC">
        <w:rPr>
          <w:b/>
        </w:rPr>
        <w:t xml:space="preserve">Returned Rates for Transfers from </w:t>
      </w:r>
      <w:r>
        <w:rPr>
          <w:b/>
        </w:rPr>
        <w:t>Two</w:t>
      </w:r>
      <w:r w:rsidRPr="009805DC">
        <w:rPr>
          <w:b/>
        </w:rPr>
        <w:t>-Year Schools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3160"/>
        <w:gridCol w:w="1515"/>
        <w:gridCol w:w="2250"/>
        <w:gridCol w:w="1800"/>
      </w:tblGrid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pPr>
              <w:rPr>
                <w:b/>
                <w:bCs/>
              </w:rPr>
            </w:pPr>
            <w:r w:rsidRPr="003806F7">
              <w:rPr>
                <w:b/>
                <w:bCs/>
              </w:rPr>
              <w:t>Two-Year School Name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513BE3">
            <w:pPr>
              <w:jc w:val="center"/>
              <w:rPr>
                <w:b/>
                <w:bCs/>
              </w:rPr>
            </w:pPr>
            <w:r w:rsidRPr="003806F7">
              <w:rPr>
                <w:b/>
                <w:bCs/>
              </w:rPr>
              <w:t>Entered Fall 201</w:t>
            </w:r>
            <w:r w:rsidR="00513BE3">
              <w:rPr>
                <w:b/>
                <w:bCs/>
              </w:rPr>
              <w:t>3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513BE3">
            <w:pPr>
              <w:jc w:val="center"/>
              <w:rPr>
                <w:b/>
                <w:bCs/>
              </w:rPr>
            </w:pPr>
            <w:r w:rsidRPr="003806F7">
              <w:rPr>
                <w:b/>
                <w:bCs/>
              </w:rPr>
              <w:t>Grad. or Returned Fall 201</w:t>
            </w:r>
            <w:r w:rsidR="00513BE3">
              <w:rPr>
                <w:b/>
                <w:bCs/>
              </w:rPr>
              <w:t>4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  <w:rPr>
                <w:b/>
                <w:bCs/>
              </w:rPr>
            </w:pPr>
            <w:r w:rsidRPr="003806F7">
              <w:rPr>
                <w:b/>
                <w:bCs/>
              </w:rPr>
              <w:t>Grad/Return Rate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Bay State College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11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10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90.9%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Cape Cod Community College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20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18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90.0%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Northern Essex Community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25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21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84.0%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Quincy College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109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91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83.5%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Middlesex Community College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55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45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81.8%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Massachusetts Bay Community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62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50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80.6%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Bunker Hill Community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284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228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80.3%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Quinsigamond Community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14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11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78.6%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Roxbury Community College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73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57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78.1%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North Shore Community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50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39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78.0%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Comm. College of Rhode Island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14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10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71.4%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Massasoit Community College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97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66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68.0%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Bristol Community College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21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14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66.7%</w:t>
            </w:r>
          </w:p>
        </w:tc>
      </w:tr>
      <w:tr w:rsidR="003806F7" w:rsidRPr="003806F7" w:rsidTr="003806F7">
        <w:trPr>
          <w:trHeight w:val="300"/>
        </w:trPr>
        <w:tc>
          <w:tcPr>
            <w:tcW w:w="3160" w:type="dxa"/>
            <w:noWrap/>
            <w:hideMark/>
          </w:tcPr>
          <w:p w:rsidR="003806F7" w:rsidRPr="003806F7" w:rsidRDefault="003806F7">
            <w:r w:rsidRPr="003806F7">
              <w:t>Fisher College</w:t>
            </w:r>
          </w:p>
        </w:tc>
        <w:tc>
          <w:tcPr>
            <w:tcW w:w="1515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11</w:t>
            </w:r>
          </w:p>
        </w:tc>
        <w:tc>
          <w:tcPr>
            <w:tcW w:w="225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6</w:t>
            </w:r>
          </w:p>
        </w:tc>
        <w:tc>
          <w:tcPr>
            <w:tcW w:w="1800" w:type="dxa"/>
            <w:noWrap/>
            <w:hideMark/>
          </w:tcPr>
          <w:p w:rsidR="003806F7" w:rsidRPr="003806F7" w:rsidRDefault="003806F7" w:rsidP="003806F7">
            <w:pPr>
              <w:jc w:val="center"/>
            </w:pPr>
            <w:r w:rsidRPr="003806F7">
              <w:t>54.5%</w:t>
            </w:r>
          </w:p>
        </w:tc>
      </w:tr>
    </w:tbl>
    <w:p w:rsidR="009D5CCB" w:rsidRDefault="009D5CCB" w:rsidP="009D5CCB"/>
    <w:p w:rsidR="00513BE3" w:rsidRDefault="00513BE3" w:rsidP="00513BE3"/>
    <w:p w:rsidR="00513BE3" w:rsidRDefault="00513BE3" w:rsidP="00513BE3">
      <w:r>
        <w:t>A total of 630 transfers had a four-year school listed as their most recent prior to matriculation as UMass Boston. Students who most recently attended UMass Boston as non-degree students are listed as transfers from UMass Boston. Of the 630, 502 had either graduated by or returned for fall 2014 for a graduated or returned rate of 79.7%. The numbers of students entering and graduating/returning and the rates are listed in Table 5 for each four</w:t>
      </w:r>
      <w:r w:rsidR="00B6079D">
        <w:t>-</w:t>
      </w:r>
      <w:r>
        <w:t xml:space="preserve">year school sending at least 10 transfers. </w:t>
      </w:r>
    </w:p>
    <w:p w:rsidR="00513BE3" w:rsidRDefault="00513BE3" w:rsidP="00513BE3"/>
    <w:p w:rsidR="00513BE3" w:rsidRDefault="00513BE3" w:rsidP="00513BE3">
      <w:r>
        <w:t xml:space="preserve">The difference in rates between two and four-year schools was not statistically significant. Another 82 transfers were from foreign schools or had an unknown school type. </w:t>
      </w:r>
    </w:p>
    <w:p w:rsidR="009D5CCB" w:rsidRDefault="009D5CCB" w:rsidP="009D5CCB"/>
    <w:p w:rsidR="009D5CCB" w:rsidRPr="009805DC" w:rsidRDefault="009D5CCB" w:rsidP="009D5CCB">
      <w:pPr>
        <w:rPr>
          <w:b/>
        </w:rPr>
      </w:pPr>
      <w:r>
        <w:rPr>
          <w:b/>
        </w:rPr>
        <w:lastRenderedPageBreak/>
        <w:t xml:space="preserve">Table </w:t>
      </w:r>
      <w:r w:rsidR="002C7115">
        <w:rPr>
          <w:b/>
        </w:rPr>
        <w:t>5</w:t>
      </w:r>
      <w:r>
        <w:rPr>
          <w:b/>
        </w:rPr>
        <w:t xml:space="preserve">: </w:t>
      </w:r>
      <w:r w:rsidR="000F404A">
        <w:rPr>
          <w:b/>
        </w:rPr>
        <w:t>Graduated or Returned</w:t>
      </w:r>
      <w:r w:rsidRPr="009805DC">
        <w:rPr>
          <w:b/>
        </w:rPr>
        <w:t xml:space="preserve"> Rates for Transfers from Four-Year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1822"/>
        <w:gridCol w:w="2196"/>
        <w:gridCol w:w="1804"/>
      </w:tblGrid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pPr>
              <w:rPr>
                <w:b/>
                <w:bCs/>
              </w:rPr>
            </w:pPr>
            <w:r w:rsidRPr="006A475F">
              <w:rPr>
                <w:b/>
                <w:bCs/>
              </w:rPr>
              <w:t>Four-Year School Name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  <w:rPr>
                <w:b/>
                <w:bCs/>
              </w:rPr>
            </w:pPr>
            <w:r w:rsidRPr="006A475F">
              <w:rPr>
                <w:b/>
                <w:bCs/>
              </w:rPr>
              <w:t>Entered Fall 2013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  <w:rPr>
                <w:b/>
                <w:bCs/>
              </w:rPr>
            </w:pPr>
            <w:r w:rsidRPr="006A475F">
              <w:rPr>
                <w:b/>
                <w:bCs/>
              </w:rPr>
              <w:t>Grad. or Returned Fall 2014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  <w:rPr>
                <w:b/>
                <w:bCs/>
              </w:rPr>
            </w:pPr>
            <w:r w:rsidRPr="006A475F">
              <w:rPr>
                <w:b/>
                <w:bCs/>
              </w:rPr>
              <w:t>Grad/Return Rate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Regis College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12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12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100.0%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Fitchburg State University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10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10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100.0%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Northeastern University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21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20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95.2%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Suffolk University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16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15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93.8%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Bridgewater State University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19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17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89.5%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UMass Dartmouth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37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32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86.5%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UMass Amherst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34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28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82.4%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UMass Boston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55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45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81.8%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Massachusetts Coll. of Pharmacy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11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9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81.8%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Salem State University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21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17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81.0%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 w:rsidP="006A475F">
            <w:r w:rsidRPr="006A475F">
              <w:t>Framingham State University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12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9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75.0%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UMass Lowell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21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15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71.4%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Curry College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13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9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69.2%</w:t>
            </w:r>
          </w:p>
        </w:tc>
      </w:tr>
      <w:tr w:rsidR="006A475F" w:rsidRPr="006A475F" w:rsidTr="006A475F">
        <w:trPr>
          <w:trHeight w:val="300"/>
        </w:trPr>
        <w:tc>
          <w:tcPr>
            <w:tcW w:w="3380" w:type="dxa"/>
            <w:noWrap/>
            <w:hideMark/>
          </w:tcPr>
          <w:p w:rsidR="006A475F" w:rsidRPr="006A475F" w:rsidRDefault="006A475F">
            <w:r w:rsidRPr="006A475F">
              <w:t>Lasell College</w:t>
            </w:r>
          </w:p>
        </w:tc>
        <w:tc>
          <w:tcPr>
            <w:tcW w:w="202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15</w:t>
            </w:r>
          </w:p>
        </w:tc>
        <w:tc>
          <w:tcPr>
            <w:tcW w:w="244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5</w:t>
            </w:r>
          </w:p>
        </w:tc>
        <w:tc>
          <w:tcPr>
            <w:tcW w:w="2000" w:type="dxa"/>
            <w:noWrap/>
            <w:hideMark/>
          </w:tcPr>
          <w:p w:rsidR="006A475F" w:rsidRPr="006A475F" w:rsidRDefault="006A475F" w:rsidP="006A475F">
            <w:pPr>
              <w:jc w:val="center"/>
            </w:pPr>
            <w:r w:rsidRPr="006A475F">
              <w:t>33.3%</w:t>
            </w:r>
          </w:p>
        </w:tc>
      </w:tr>
    </w:tbl>
    <w:p w:rsidR="008A3C90" w:rsidRDefault="008A3C90" w:rsidP="009D5CCB"/>
    <w:p w:rsidR="008A3C90" w:rsidRDefault="008A3C90" w:rsidP="009D5CCB"/>
    <w:p w:rsidR="00180860" w:rsidRPr="00180860" w:rsidRDefault="00180860" w:rsidP="00180860">
      <w:pPr>
        <w:jc w:val="center"/>
        <w:rPr>
          <w:b/>
        </w:rPr>
      </w:pPr>
      <w:r w:rsidRPr="00180860">
        <w:rPr>
          <w:b/>
        </w:rPr>
        <w:t>Entry College</w:t>
      </w:r>
    </w:p>
    <w:p w:rsidR="00180860" w:rsidRDefault="00180860" w:rsidP="009D5CCB"/>
    <w:p w:rsidR="003409F7" w:rsidRDefault="003D0C1C" w:rsidP="009D5CCB">
      <w:pPr>
        <w:rPr>
          <w:b/>
        </w:rPr>
      </w:pPr>
      <w:r>
        <w:t>T</w:t>
      </w:r>
      <w:r w:rsidR="006145D1">
        <w:t xml:space="preserve">here were </w:t>
      </w:r>
      <w:r w:rsidR="00DF4EC4">
        <w:t>no</w:t>
      </w:r>
      <w:r w:rsidR="006145D1">
        <w:t xml:space="preserve"> </w:t>
      </w:r>
      <w:r>
        <w:t xml:space="preserve">statistically significant </w:t>
      </w:r>
      <w:r w:rsidR="006145D1">
        <w:t>differences in graduat</w:t>
      </w:r>
      <w:r w:rsidR="003409F7">
        <w:t>ed</w:t>
      </w:r>
      <w:r w:rsidR="006145D1">
        <w:t xml:space="preserve">/returned rates between the </w:t>
      </w:r>
      <w:r w:rsidR="003865FF">
        <w:t xml:space="preserve">UMass Boston </w:t>
      </w:r>
      <w:r w:rsidR="00180860">
        <w:t xml:space="preserve">entry </w:t>
      </w:r>
      <w:r w:rsidR="006145D1">
        <w:t>colleges</w:t>
      </w:r>
      <w:r>
        <w:t xml:space="preserve">. </w:t>
      </w:r>
      <w:r w:rsidR="007513F9">
        <w:t>The rates are reported in Table 6. A</w:t>
      </w:r>
      <w:r>
        <w:t xml:space="preserve">n additional breakout is included for the </w:t>
      </w:r>
      <w:r w:rsidR="003409F7">
        <w:t>College of Nursing and Health Sciences’ Nursing and Exercise and Health Sciences programs</w:t>
      </w:r>
      <w:r>
        <w:t>.</w:t>
      </w:r>
      <w:r w:rsidR="003409F7">
        <w:t xml:space="preserve"> </w:t>
      </w:r>
      <w:r w:rsidR="00F7138B">
        <w:t>Within CNHS, students entering a nursing program were significantly more likely to graduate/return than those entering Exercise &amp; Health Sciences at 84.8% compared to 69.9%</w:t>
      </w:r>
    </w:p>
    <w:p w:rsidR="003409F7" w:rsidRDefault="003409F7" w:rsidP="009D5CCB">
      <w:pPr>
        <w:rPr>
          <w:b/>
        </w:rPr>
      </w:pPr>
    </w:p>
    <w:p w:rsidR="004D54B5" w:rsidRPr="00331B25" w:rsidRDefault="003409F7" w:rsidP="00C05E72">
      <w:pPr>
        <w:rPr>
          <w:b/>
        </w:rPr>
      </w:pPr>
      <w:r w:rsidRPr="00331B25">
        <w:rPr>
          <w:b/>
        </w:rPr>
        <w:t>Table 6: Graduated or Returned Rates by Entry College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965"/>
        <w:gridCol w:w="1620"/>
        <w:gridCol w:w="2340"/>
        <w:gridCol w:w="1890"/>
      </w:tblGrid>
      <w:tr w:rsidR="00331B25" w:rsidRPr="00331B25" w:rsidTr="00331B25">
        <w:trPr>
          <w:trHeight w:val="930"/>
        </w:trPr>
        <w:tc>
          <w:tcPr>
            <w:tcW w:w="2965" w:type="dxa"/>
            <w:hideMark/>
          </w:tcPr>
          <w:p w:rsidR="00331B25" w:rsidRPr="00331B25" w:rsidRDefault="00331B25">
            <w:pPr>
              <w:rPr>
                <w:b/>
                <w:bCs/>
              </w:rPr>
            </w:pPr>
            <w:r w:rsidRPr="00331B25">
              <w:rPr>
                <w:b/>
                <w:bCs/>
              </w:rPr>
              <w:t>College</w:t>
            </w:r>
          </w:p>
        </w:tc>
        <w:tc>
          <w:tcPr>
            <w:tcW w:w="1620" w:type="dxa"/>
            <w:hideMark/>
          </w:tcPr>
          <w:p w:rsidR="00331B25" w:rsidRPr="00331B25" w:rsidRDefault="00331B25" w:rsidP="00331B25">
            <w:pPr>
              <w:jc w:val="center"/>
              <w:rPr>
                <w:b/>
                <w:bCs/>
              </w:rPr>
            </w:pPr>
            <w:r w:rsidRPr="00331B25">
              <w:rPr>
                <w:b/>
                <w:bCs/>
              </w:rPr>
              <w:t>Entered Fall 2013</w:t>
            </w:r>
          </w:p>
        </w:tc>
        <w:tc>
          <w:tcPr>
            <w:tcW w:w="2340" w:type="dxa"/>
            <w:hideMark/>
          </w:tcPr>
          <w:p w:rsidR="00331B25" w:rsidRPr="00331B25" w:rsidRDefault="00331B25" w:rsidP="00331B25">
            <w:pPr>
              <w:jc w:val="center"/>
              <w:rPr>
                <w:b/>
                <w:bCs/>
              </w:rPr>
            </w:pPr>
            <w:r w:rsidRPr="00331B25">
              <w:rPr>
                <w:b/>
                <w:bCs/>
              </w:rPr>
              <w:t>Grad. or Returned Fall 2014</w:t>
            </w:r>
          </w:p>
        </w:tc>
        <w:tc>
          <w:tcPr>
            <w:tcW w:w="1890" w:type="dxa"/>
            <w:hideMark/>
          </w:tcPr>
          <w:p w:rsidR="00331B25" w:rsidRPr="00331B25" w:rsidRDefault="00331B25" w:rsidP="00331B25">
            <w:pPr>
              <w:jc w:val="center"/>
              <w:rPr>
                <w:b/>
                <w:bCs/>
              </w:rPr>
            </w:pPr>
            <w:r w:rsidRPr="00331B25">
              <w:rPr>
                <w:b/>
                <w:bCs/>
              </w:rPr>
              <w:t>Grad/Return Rate</w:t>
            </w:r>
          </w:p>
        </w:tc>
      </w:tr>
      <w:tr w:rsidR="00331B25" w:rsidRPr="00331B25" w:rsidTr="00331B25">
        <w:trPr>
          <w:trHeight w:val="300"/>
        </w:trPr>
        <w:tc>
          <w:tcPr>
            <w:tcW w:w="2965" w:type="dxa"/>
            <w:noWrap/>
            <w:hideMark/>
          </w:tcPr>
          <w:p w:rsidR="00331B25" w:rsidRPr="00331B25" w:rsidRDefault="00331B25">
            <w:r w:rsidRPr="00331B25">
              <w:t>CEHD</w:t>
            </w:r>
          </w:p>
        </w:tc>
        <w:tc>
          <w:tcPr>
            <w:tcW w:w="162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55</w:t>
            </w:r>
          </w:p>
        </w:tc>
        <w:tc>
          <w:tcPr>
            <w:tcW w:w="234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45</w:t>
            </w:r>
          </w:p>
        </w:tc>
        <w:tc>
          <w:tcPr>
            <w:tcW w:w="189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81.8%</w:t>
            </w:r>
          </w:p>
        </w:tc>
      </w:tr>
      <w:tr w:rsidR="00331B25" w:rsidRPr="00331B25" w:rsidTr="00331B25">
        <w:trPr>
          <w:trHeight w:val="300"/>
        </w:trPr>
        <w:tc>
          <w:tcPr>
            <w:tcW w:w="2965" w:type="dxa"/>
            <w:noWrap/>
            <w:hideMark/>
          </w:tcPr>
          <w:p w:rsidR="00331B25" w:rsidRPr="00331B25" w:rsidRDefault="00331B25">
            <w:r w:rsidRPr="00331B25">
              <w:t>CNHS</w:t>
            </w:r>
          </w:p>
        </w:tc>
        <w:tc>
          <w:tcPr>
            <w:tcW w:w="162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337</w:t>
            </w:r>
          </w:p>
        </w:tc>
        <w:tc>
          <w:tcPr>
            <w:tcW w:w="234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269</w:t>
            </w:r>
          </w:p>
        </w:tc>
        <w:tc>
          <w:tcPr>
            <w:tcW w:w="189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79.8%</w:t>
            </w:r>
          </w:p>
        </w:tc>
      </w:tr>
      <w:tr w:rsidR="00331B25" w:rsidRPr="00331B25" w:rsidTr="00331B25">
        <w:trPr>
          <w:trHeight w:val="300"/>
        </w:trPr>
        <w:tc>
          <w:tcPr>
            <w:tcW w:w="2965" w:type="dxa"/>
            <w:noWrap/>
            <w:hideMark/>
          </w:tcPr>
          <w:p w:rsidR="00331B25" w:rsidRPr="00331B25" w:rsidRDefault="00331B25">
            <w:r w:rsidRPr="00331B25">
              <w:t>CPCSU</w:t>
            </w:r>
          </w:p>
        </w:tc>
        <w:tc>
          <w:tcPr>
            <w:tcW w:w="162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46</w:t>
            </w:r>
          </w:p>
        </w:tc>
        <w:tc>
          <w:tcPr>
            <w:tcW w:w="234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38</w:t>
            </w:r>
          </w:p>
        </w:tc>
        <w:tc>
          <w:tcPr>
            <w:tcW w:w="189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82.6%</w:t>
            </w:r>
          </w:p>
        </w:tc>
      </w:tr>
      <w:tr w:rsidR="00331B25" w:rsidRPr="00331B25" w:rsidTr="00331B25">
        <w:trPr>
          <w:trHeight w:val="300"/>
        </w:trPr>
        <w:tc>
          <w:tcPr>
            <w:tcW w:w="2965" w:type="dxa"/>
            <w:noWrap/>
            <w:hideMark/>
          </w:tcPr>
          <w:p w:rsidR="00331B25" w:rsidRPr="00331B25" w:rsidRDefault="00331B25">
            <w:r w:rsidRPr="00331B25">
              <w:t>CSM-U</w:t>
            </w:r>
          </w:p>
        </w:tc>
        <w:tc>
          <w:tcPr>
            <w:tcW w:w="162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383</w:t>
            </w:r>
          </w:p>
        </w:tc>
        <w:tc>
          <w:tcPr>
            <w:tcW w:w="234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291</w:t>
            </w:r>
          </w:p>
        </w:tc>
        <w:tc>
          <w:tcPr>
            <w:tcW w:w="189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76.0%</w:t>
            </w:r>
          </w:p>
        </w:tc>
      </w:tr>
      <w:tr w:rsidR="00331B25" w:rsidRPr="00331B25" w:rsidTr="00331B25">
        <w:trPr>
          <w:trHeight w:val="300"/>
        </w:trPr>
        <w:tc>
          <w:tcPr>
            <w:tcW w:w="2965" w:type="dxa"/>
            <w:noWrap/>
            <w:hideMark/>
          </w:tcPr>
          <w:p w:rsidR="00331B25" w:rsidRPr="00331B25" w:rsidRDefault="00331B25">
            <w:r w:rsidRPr="00331B25">
              <w:t>LA-U</w:t>
            </w:r>
          </w:p>
        </w:tc>
        <w:tc>
          <w:tcPr>
            <w:tcW w:w="162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664</w:t>
            </w:r>
          </w:p>
        </w:tc>
        <w:tc>
          <w:tcPr>
            <w:tcW w:w="234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520</w:t>
            </w:r>
          </w:p>
        </w:tc>
        <w:tc>
          <w:tcPr>
            <w:tcW w:w="189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78.3%</w:t>
            </w:r>
          </w:p>
        </w:tc>
      </w:tr>
      <w:tr w:rsidR="00331B25" w:rsidRPr="00331B25" w:rsidTr="00331B25">
        <w:trPr>
          <w:trHeight w:val="300"/>
        </w:trPr>
        <w:tc>
          <w:tcPr>
            <w:tcW w:w="2965" w:type="dxa"/>
            <w:noWrap/>
            <w:hideMark/>
          </w:tcPr>
          <w:p w:rsidR="00331B25" w:rsidRPr="00331B25" w:rsidRDefault="00331B25">
            <w:r w:rsidRPr="00331B25">
              <w:t>MGT-U</w:t>
            </w:r>
          </w:p>
        </w:tc>
        <w:tc>
          <w:tcPr>
            <w:tcW w:w="162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234</w:t>
            </w:r>
          </w:p>
        </w:tc>
        <w:tc>
          <w:tcPr>
            <w:tcW w:w="234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185</w:t>
            </w:r>
          </w:p>
        </w:tc>
        <w:tc>
          <w:tcPr>
            <w:tcW w:w="189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79.1%</w:t>
            </w:r>
          </w:p>
        </w:tc>
      </w:tr>
      <w:tr w:rsidR="00331B25" w:rsidRPr="00331B25" w:rsidTr="00331B25">
        <w:trPr>
          <w:trHeight w:val="300"/>
        </w:trPr>
        <w:tc>
          <w:tcPr>
            <w:tcW w:w="2965" w:type="dxa"/>
            <w:noWrap/>
            <w:hideMark/>
          </w:tcPr>
          <w:p w:rsidR="00331B25" w:rsidRPr="00331B25" w:rsidRDefault="00331B25">
            <w:pPr>
              <w:rPr>
                <w:b/>
              </w:rPr>
            </w:pPr>
            <w:r w:rsidRPr="00331B25">
              <w:rPr>
                <w:b/>
              </w:rPr>
              <w:t>Total</w:t>
            </w:r>
          </w:p>
        </w:tc>
        <w:tc>
          <w:tcPr>
            <w:tcW w:w="1620" w:type="dxa"/>
            <w:noWrap/>
            <w:hideMark/>
          </w:tcPr>
          <w:p w:rsidR="00331B25" w:rsidRPr="00331B25" w:rsidRDefault="00331B25" w:rsidP="00331B25">
            <w:pPr>
              <w:jc w:val="center"/>
              <w:rPr>
                <w:b/>
              </w:rPr>
            </w:pPr>
            <w:r w:rsidRPr="00331B25">
              <w:rPr>
                <w:b/>
              </w:rPr>
              <w:t>1,719</w:t>
            </w:r>
          </w:p>
        </w:tc>
        <w:tc>
          <w:tcPr>
            <w:tcW w:w="2340" w:type="dxa"/>
            <w:noWrap/>
            <w:hideMark/>
          </w:tcPr>
          <w:p w:rsidR="00331B25" w:rsidRPr="00331B25" w:rsidRDefault="00331B25" w:rsidP="00331B25">
            <w:pPr>
              <w:jc w:val="center"/>
              <w:rPr>
                <w:b/>
              </w:rPr>
            </w:pPr>
            <w:r w:rsidRPr="00331B25">
              <w:rPr>
                <w:b/>
              </w:rPr>
              <w:t>1,348</w:t>
            </w:r>
          </w:p>
        </w:tc>
        <w:tc>
          <w:tcPr>
            <w:tcW w:w="1890" w:type="dxa"/>
            <w:noWrap/>
            <w:hideMark/>
          </w:tcPr>
          <w:p w:rsidR="00331B25" w:rsidRPr="00331B25" w:rsidRDefault="00331B25" w:rsidP="00331B25">
            <w:pPr>
              <w:jc w:val="center"/>
              <w:rPr>
                <w:b/>
              </w:rPr>
            </w:pPr>
            <w:r w:rsidRPr="00331B25">
              <w:rPr>
                <w:b/>
              </w:rPr>
              <w:t>78.4%</w:t>
            </w:r>
          </w:p>
        </w:tc>
      </w:tr>
    </w:tbl>
    <w:p w:rsidR="00180860" w:rsidRDefault="00180860">
      <w:r>
        <w:t>Continued</w:t>
      </w:r>
    </w:p>
    <w:p w:rsidR="00180860" w:rsidRDefault="00180860"/>
    <w:p w:rsidR="00180860" w:rsidRPr="00331B25" w:rsidRDefault="00180860" w:rsidP="00180860">
      <w:pPr>
        <w:rPr>
          <w:b/>
        </w:rPr>
      </w:pPr>
      <w:r w:rsidRPr="00331B25">
        <w:rPr>
          <w:b/>
        </w:rPr>
        <w:t>Table 6: Graduated or Returned Rates by Entry College</w:t>
      </w:r>
      <w:r w:rsidR="00E762A4">
        <w:rPr>
          <w:b/>
        </w:rPr>
        <w:t xml:space="preserve"> </w:t>
      </w:r>
      <w:r w:rsidR="00E762A4" w:rsidRPr="00E762A4">
        <w:t>(continued)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965"/>
        <w:gridCol w:w="1620"/>
        <w:gridCol w:w="2340"/>
        <w:gridCol w:w="1890"/>
      </w:tblGrid>
      <w:tr w:rsidR="00331B25" w:rsidRPr="00331B25" w:rsidTr="006A475F">
        <w:trPr>
          <w:trHeight w:val="602"/>
        </w:trPr>
        <w:tc>
          <w:tcPr>
            <w:tcW w:w="2965" w:type="dxa"/>
            <w:noWrap/>
            <w:hideMark/>
          </w:tcPr>
          <w:p w:rsidR="00331B25" w:rsidRPr="00331B25" w:rsidRDefault="00331B25">
            <w:pPr>
              <w:rPr>
                <w:b/>
                <w:bCs/>
              </w:rPr>
            </w:pPr>
            <w:r w:rsidRPr="00331B25">
              <w:rPr>
                <w:b/>
                <w:bCs/>
              </w:rPr>
              <w:lastRenderedPageBreak/>
              <w:t>Within CNHS</w:t>
            </w:r>
          </w:p>
        </w:tc>
        <w:tc>
          <w:tcPr>
            <w:tcW w:w="1620" w:type="dxa"/>
            <w:hideMark/>
          </w:tcPr>
          <w:p w:rsidR="00331B25" w:rsidRPr="00331B25" w:rsidRDefault="00331B25" w:rsidP="00331B25">
            <w:pPr>
              <w:jc w:val="center"/>
              <w:rPr>
                <w:b/>
                <w:bCs/>
              </w:rPr>
            </w:pPr>
            <w:r w:rsidRPr="00331B25">
              <w:rPr>
                <w:b/>
                <w:bCs/>
              </w:rPr>
              <w:t>Entered Fall 2013</w:t>
            </w:r>
          </w:p>
        </w:tc>
        <w:tc>
          <w:tcPr>
            <w:tcW w:w="2340" w:type="dxa"/>
            <w:hideMark/>
          </w:tcPr>
          <w:p w:rsidR="00331B25" w:rsidRPr="00331B25" w:rsidRDefault="00331B25" w:rsidP="00331B25">
            <w:pPr>
              <w:jc w:val="center"/>
              <w:rPr>
                <w:b/>
                <w:bCs/>
              </w:rPr>
            </w:pPr>
            <w:r w:rsidRPr="00331B25">
              <w:rPr>
                <w:b/>
                <w:bCs/>
              </w:rPr>
              <w:t>Grad. or Returned Fall 2014</w:t>
            </w:r>
          </w:p>
        </w:tc>
        <w:tc>
          <w:tcPr>
            <w:tcW w:w="1890" w:type="dxa"/>
            <w:hideMark/>
          </w:tcPr>
          <w:p w:rsidR="00331B25" w:rsidRPr="00331B25" w:rsidRDefault="00331B25" w:rsidP="00331B25">
            <w:pPr>
              <w:jc w:val="center"/>
              <w:rPr>
                <w:b/>
                <w:bCs/>
              </w:rPr>
            </w:pPr>
            <w:r w:rsidRPr="00331B25">
              <w:rPr>
                <w:b/>
                <w:bCs/>
              </w:rPr>
              <w:t>Grad/Return Rate</w:t>
            </w:r>
          </w:p>
        </w:tc>
      </w:tr>
      <w:tr w:rsidR="00331B25" w:rsidRPr="00331B25" w:rsidTr="00331B25">
        <w:trPr>
          <w:trHeight w:val="300"/>
        </w:trPr>
        <w:tc>
          <w:tcPr>
            <w:tcW w:w="2965" w:type="dxa"/>
            <w:noWrap/>
            <w:hideMark/>
          </w:tcPr>
          <w:p w:rsidR="00331B25" w:rsidRPr="00331B25" w:rsidRDefault="00331B25">
            <w:r w:rsidRPr="00331B25">
              <w:t>EHS</w:t>
            </w:r>
          </w:p>
        </w:tc>
        <w:tc>
          <w:tcPr>
            <w:tcW w:w="162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113</w:t>
            </w:r>
          </w:p>
        </w:tc>
        <w:tc>
          <w:tcPr>
            <w:tcW w:w="234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79</w:t>
            </w:r>
          </w:p>
        </w:tc>
        <w:tc>
          <w:tcPr>
            <w:tcW w:w="189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69.9%</w:t>
            </w:r>
          </w:p>
        </w:tc>
      </w:tr>
      <w:tr w:rsidR="00331B25" w:rsidRPr="00331B25" w:rsidTr="00331B25">
        <w:trPr>
          <w:trHeight w:val="300"/>
        </w:trPr>
        <w:tc>
          <w:tcPr>
            <w:tcW w:w="2965" w:type="dxa"/>
            <w:noWrap/>
            <w:hideMark/>
          </w:tcPr>
          <w:p w:rsidR="00331B25" w:rsidRPr="00331B25" w:rsidRDefault="00331B25">
            <w:r w:rsidRPr="00331B25">
              <w:t>NUR</w:t>
            </w:r>
          </w:p>
        </w:tc>
        <w:tc>
          <w:tcPr>
            <w:tcW w:w="162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224</w:t>
            </w:r>
          </w:p>
        </w:tc>
        <w:tc>
          <w:tcPr>
            <w:tcW w:w="234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190</w:t>
            </w:r>
          </w:p>
        </w:tc>
        <w:tc>
          <w:tcPr>
            <w:tcW w:w="1890" w:type="dxa"/>
            <w:noWrap/>
            <w:hideMark/>
          </w:tcPr>
          <w:p w:rsidR="00331B25" w:rsidRPr="00331B25" w:rsidRDefault="00331B25" w:rsidP="00331B25">
            <w:pPr>
              <w:jc w:val="center"/>
            </w:pPr>
            <w:r w:rsidRPr="00331B25">
              <w:t>84.8%</w:t>
            </w:r>
          </w:p>
        </w:tc>
      </w:tr>
    </w:tbl>
    <w:p w:rsidR="004D54B5" w:rsidRPr="00331B25" w:rsidRDefault="004D54B5">
      <w:pPr>
        <w:rPr>
          <w:b/>
        </w:rPr>
      </w:pPr>
    </w:p>
    <w:p w:rsidR="000E28DF" w:rsidRDefault="000E28DF"/>
    <w:p w:rsidR="00B6079D" w:rsidRDefault="00B6079D" w:rsidP="00CD06DD">
      <w:pPr>
        <w:jc w:val="center"/>
        <w:rPr>
          <w:b/>
        </w:rPr>
      </w:pPr>
    </w:p>
    <w:p w:rsidR="00F800E5" w:rsidRDefault="00F800E5" w:rsidP="00CD06DD">
      <w:pPr>
        <w:jc w:val="center"/>
        <w:rPr>
          <w:b/>
        </w:rPr>
      </w:pPr>
      <w:r w:rsidRPr="00CD06DD">
        <w:rPr>
          <w:b/>
        </w:rPr>
        <w:t>Graduation/Return Rates by Admissions Major</w:t>
      </w:r>
    </w:p>
    <w:p w:rsidR="00CD06DD" w:rsidRDefault="00CD06DD" w:rsidP="00CD06DD">
      <w:pPr>
        <w:jc w:val="center"/>
        <w:rPr>
          <w:b/>
        </w:rPr>
      </w:pPr>
    </w:p>
    <w:p w:rsidR="00CD06DD" w:rsidRDefault="00CD06DD" w:rsidP="00E762A4">
      <w:r w:rsidRPr="00CD06DD">
        <w:t>Among admissions majors with at least 10 incoming transfer stud</w:t>
      </w:r>
      <w:r>
        <w:t>e</w:t>
      </w:r>
      <w:r w:rsidRPr="00CD06DD">
        <w:t>nts</w:t>
      </w:r>
      <w:r>
        <w:t>, Sociology (BA) with 26 students had the highest graduat</w:t>
      </w:r>
      <w:r w:rsidR="00B6079D">
        <w:t>ed</w:t>
      </w:r>
      <w:r>
        <w:t>/returned rate of 100%, while Computer Science (BS) with 45 incoming students had the lowest rate at 60%.</w:t>
      </w:r>
      <w:r w:rsidRPr="00CD06DD">
        <w:t xml:space="preserve"> </w:t>
      </w:r>
      <w:r w:rsidR="00E762A4">
        <w:t xml:space="preserve">Table 7 presents the rates for all majors including Undecided within each college. </w:t>
      </w:r>
    </w:p>
    <w:p w:rsidR="00CD06DD" w:rsidRDefault="00CD06DD" w:rsidP="00CD06DD">
      <w:pPr>
        <w:jc w:val="center"/>
      </w:pPr>
    </w:p>
    <w:p w:rsidR="00CD06DD" w:rsidRPr="00331B25" w:rsidRDefault="00CD06DD" w:rsidP="00CD06DD">
      <w:pPr>
        <w:rPr>
          <w:b/>
        </w:rPr>
      </w:pPr>
      <w:r w:rsidRPr="00331B25">
        <w:rPr>
          <w:b/>
        </w:rPr>
        <w:t xml:space="preserve">Table </w:t>
      </w:r>
      <w:r w:rsidR="00E762A4">
        <w:rPr>
          <w:b/>
        </w:rPr>
        <w:t>7</w:t>
      </w:r>
      <w:r w:rsidRPr="00331B25">
        <w:rPr>
          <w:b/>
        </w:rPr>
        <w:t xml:space="preserve">: Graduated or Returned Rates by </w:t>
      </w:r>
      <w:r w:rsidR="00E762A4">
        <w:rPr>
          <w:b/>
        </w:rPr>
        <w:t>Admissions Major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940"/>
        <w:gridCol w:w="1645"/>
        <w:gridCol w:w="2340"/>
        <w:gridCol w:w="1980"/>
      </w:tblGrid>
      <w:tr w:rsidR="00CD06DD" w:rsidRPr="00CD06DD" w:rsidTr="00CD06DD">
        <w:trPr>
          <w:trHeight w:val="665"/>
        </w:trPr>
        <w:tc>
          <w:tcPr>
            <w:tcW w:w="2940" w:type="dxa"/>
            <w:hideMark/>
          </w:tcPr>
          <w:p w:rsidR="00CD06DD" w:rsidRPr="00CD06DD" w:rsidRDefault="00CD06DD" w:rsidP="00CD06DD">
            <w:pPr>
              <w:rPr>
                <w:b/>
                <w:bCs/>
              </w:rPr>
            </w:pPr>
            <w:r w:rsidRPr="00CD06DD">
              <w:rPr>
                <w:b/>
                <w:bCs/>
              </w:rPr>
              <w:t>Admissions Major</w:t>
            </w:r>
          </w:p>
        </w:tc>
        <w:tc>
          <w:tcPr>
            <w:tcW w:w="1645" w:type="dxa"/>
            <w:hideMark/>
          </w:tcPr>
          <w:p w:rsidR="00CD06DD" w:rsidRPr="00CD06DD" w:rsidRDefault="00CD06DD">
            <w:pPr>
              <w:jc w:val="center"/>
              <w:rPr>
                <w:b/>
                <w:bCs/>
              </w:rPr>
            </w:pPr>
            <w:r w:rsidRPr="00CD06DD">
              <w:rPr>
                <w:b/>
                <w:bCs/>
              </w:rPr>
              <w:t>Entered Fall 2012</w:t>
            </w:r>
          </w:p>
        </w:tc>
        <w:tc>
          <w:tcPr>
            <w:tcW w:w="2340" w:type="dxa"/>
            <w:hideMark/>
          </w:tcPr>
          <w:p w:rsidR="00CD06DD" w:rsidRPr="00CD06DD" w:rsidRDefault="00CD06DD">
            <w:pPr>
              <w:jc w:val="center"/>
              <w:rPr>
                <w:b/>
                <w:bCs/>
              </w:rPr>
            </w:pPr>
            <w:r w:rsidRPr="00CD06DD">
              <w:rPr>
                <w:b/>
                <w:bCs/>
              </w:rPr>
              <w:t>Grad. or Returned Fall 2013</w:t>
            </w:r>
          </w:p>
        </w:tc>
        <w:tc>
          <w:tcPr>
            <w:tcW w:w="1980" w:type="dxa"/>
            <w:hideMark/>
          </w:tcPr>
          <w:p w:rsidR="00CD06DD" w:rsidRPr="00CD06DD" w:rsidRDefault="00CD06DD">
            <w:pPr>
              <w:jc w:val="center"/>
              <w:rPr>
                <w:b/>
                <w:bCs/>
              </w:rPr>
            </w:pPr>
            <w:r w:rsidRPr="00CD06DD">
              <w:rPr>
                <w:b/>
                <w:bCs/>
              </w:rPr>
              <w:t>Grad/Return Rate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Accelerated Nursing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28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27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96.4%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Africana Studies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33.3%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American Studies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100.0%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Anthropology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66.7%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Anthropology-History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0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Art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10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Asian Studies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5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71.4%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Biochemistry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23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14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60.9%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Biology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134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106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79.1%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Chemistry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17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16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94.1%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Classical Languages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0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Classical Studies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0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Communications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59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48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81.4%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Community Studies (BA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5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4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Computer Science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5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Computer Science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45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27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Criminal Justice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109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92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84.4%</w:t>
            </w:r>
          </w:p>
        </w:tc>
      </w:tr>
      <w:tr w:rsidR="006A475F" w:rsidRPr="00CD06DD" w:rsidTr="001E3F18">
        <w:trPr>
          <w:trHeight w:val="300"/>
        </w:trPr>
        <w:tc>
          <w:tcPr>
            <w:tcW w:w="2940" w:type="dxa"/>
            <w:noWrap/>
            <w:hideMark/>
          </w:tcPr>
          <w:p w:rsidR="006A475F" w:rsidRPr="00CD06DD" w:rsidRDefault="006A475F" w:rsidP="001E3F18">
            <w:r w:rsidRPr="00CD06DD">
              <w:t>Early Ed. &amp; Care Inclusion</w:t>
            </w:r>
          </w:p>
        </w:tc>
        <w:tc>
          <w:tcPr>
            <w:tcW w:w="1645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55</w:t>
            </w:r>
          </w:p>
        </w:tc>
        <w:tc>
          <w:tcPr>
            <w:tcW w:w="2340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45</w:t>
            </w:r>
          </w:p>
        </w:tc>
        <w:tc>
          <w:tcPr>
            <w:tcW w:w="1980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81.8%</w:t>
            </w:r>
          </w:p>
        </w:tc>
      </w:tr>
      <w:tr w:rsidR="006A475F" w:rsidRPr="00CD06DD" w:rsidTr="001E3F18">
        <w:trPr>
          <w:trHeight w:val="300"/>
        </w:trPr>
        <w:tc>
          <w:tcPr>
            <w:tcW w:w="2940" w:type="dxa"/>
            <w:noWrap/>
            <w:hideMark/>
          </w:tcPr>
          <w:p w:rsidR="006A475F" w:rsidRPr="00CD06DD" w:rsidRDefault="006A475F" w:rsidP="001E3F18">
            <w:r w:rsidRPr="00CD06DD">
              <w:t>Economics (BA)</w:t>
            </w:r>
          </w:p>
        </w:tc>
        <w:tc>
          <w:tcPr>
            <w:tcW w:w="1645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52</w:t>
            </w:r>
          </w:p>
        </w:tc>
        <w:tc>
          <w:tcPr>
            <w:tcW w:w="2340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41</w:t>
            </w:r>
          </w:p>
        </w:tc>
        <w:tc>
          <w:tcPr>
            <w:tcW w:w="1980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78.8%</w:t>
            </w:r>
          </w:p>
        </w:tc>
      </w:tr>
      <w:tr w:rsidR="006A475F" w:rsidRPr="00CD06DD" w:rsidTr="001E3F18">
        <w:trPr>
          <w:trHeight w:val="300"/>
        </w:trPr>
        <w:tc>
          <w:tcPr>
            <w:tcW w:w="2940" w:type="dxa"/>
            <w:noWrap/>
            <w:hideMark/>
          </w:tcPr>
          <w:p w:rsidR="006A475F" w:rsidRPr="00CD06DD" w:rsidRDefault="006A475F" w:rsidP="001E3F18">
            <w:r w:rsidRPr="00CD06DD">
              <w:t>Electrical Engineering (BS)</w:t>
            </w:r>
          </w:p>
        </w:tc>
        <w:tc>
          <w:tcPr>
            <w:tcW w:w="1645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6</w:t>
            </w:r>
          </w:p>
        </w:tc>
        <w:tc>
          <w:tcPr>
            <w:tcW w:w="2340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6</w:t>
            </w:r>
          </w:p>
        </w:tc>
        <w:tc>
          <w:tcPr>
            <w:tcW w:w="1980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100.0%</w:t>
            </w:r>
          </w:p>
        </w:tc>
      </w:tr>
      <w:tr w:rsidR="006A475F" w:rsidRPr="00CD06DD" w:rsidTr="001E3F18">
        <w:trPr>
          <w:trHeight w:val="300"/>
        </w:trPr>
        <w:tc>
          <w:tcPr>
            <w:tcW w:w="2940" w:type="dxa"/>
            <w:noWrap/>
            <w:hideMark/>
          </w:tcPr>
          <w:p w:rsidR="006A475F" w:rsidRPr="00CD06DD" w:rsidRDefault="006A475F" w:rsidP="001E3F18">
            <w:r w:rsidRPr="00CD06DD">
              <w:t>Engineering (Major)</w:t>
            </w:r>
          </w:p>
        </w:tc>
        <w:tc>
          <w:tcPr>
            <w:tcW w:w="1645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2</w:t>
            </w:r>
          </w:p>
        </w:tc>
        <w:tc>
          <w:tcPr>
            <w:tcW w:w="2340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1</w:t>
            </w:r>
          </w:p>
        </w:tc>
        <w:tc>
          <w:tcPr>
            <w:tcW w:w="1980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50.0%</w:t>
            </w:r>
          </w:p>
        </w:tc>
      </w:tr>
      <w:tr w:rsidR="006A475F" w:rsidRPr="00CD06DD" w:rsidTr="001E3F18">
        <w:trPr>
          <w:trHeight w:val="300"/>
        </w:trPr>
        <w:tc>
          <w:tcPr>
            <w:tcW w:w="2940" w:type="dxa"/>
            <w:noWrap/>
            <w:hideMark/>
          </w:tcPr>
          <w:p w:rsidR="006A475F" w:rsidRPr="00CD06DD" w:rsidRDefault="006A475F" w:rsidP="001E3F18">
            <w:r w:rsidRPr="00CD06DD">
              <w:t>Engineering Physics (BS)</w:t>
            </w:r>
          </w:p>
        </w:tc>
        <w:tc>
          <w:tcPr>
            <w:tcW w:w="1645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3</w:t>
            </w:r>
          </w:p>
        </w:tc>
        <w:tc>
          <w:tcPr>
            <w:tcW w:w="2340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2</w:t>
            </w:r>
          </w:p>
        </w:tc>
        <w:tc>
          <w:tcPr>
            <w:tcW w:w="1980" w:type="dxa"/>
            <w:noWrap/>
            <w:hideMark/>
          </w:tcPr>
          <w:p w:rsidR="006A475F" w:rsidRPr="00CD06DD" w:rsidRDefault="006A475F" w:rsidP="001E3F18">
            <w:pPr>
              <w:jc w:val="center"/>
            </w:pPr>
            <w:r w:rsidRPr="00CD06DD">
              <w:t>66.7%</w:t>
            </w:r>
          </w:p>
        </w:tc>
      </w:tr>
    </w:tbl>
    <w:p w:rsidR="00E762A4" w:rsidRDefault="00E762A4">
      <w:r>
        <w:t>Continued</w:t>
      </w:r>
    </w:p>
    <w:p w:rsidR="00E762A4" w:rsidRDefault="00E762A4" w:rsidP="00E762A4">
      <w:pPr>
        <w:rPr>
          <w:b/>
        </w:rPr>
      </w:pPr>
    </w:p>
    <w:p w:rsidR="00E762A4" w:rsidRDefault="00E762A4" w:rsidP="00E762A4">
      <w:pPr>
        <w:rPr>
          <w:b/>
        </w:rPr>
      </w:pPr>
    </w:p>
    <w:p w:rsidR="00B6079D" w:rsidRDefault="00B6079D" w:rsidP="00E762A4">
      <w:pPr>
        <w:rPr>
          <w:b/>
        </w:rPr>
      </w:pPr>
    </w:p>
    <w:p w:rsidR="00E762A4" w:rsidRPr="00331B25" w:rsidRDefault="00E762A4" w:rsidP="00E762A4">
      <w:pPr>
        <w:rPr>
          <w:b/>
        </w:rPr>
      </w:pPr>
      <w:r w:rsidRPr="00331B25">
        <w:rPr>
          <w:b/>
        </w:rPr>
        <w:lastRenderedPageBreak/>
        <w:t xml:space="preserve">Table </w:t>
      </w:r>
      <w:r>
        <w:rPr>
          <w:b/>
        </w:rPr>
        <w:t>7</w:t>
      </w:r>
      <w:r w:rsidRPr="00331B25">
        <w:rPr>
          <w:b/>
        </w:rPr>
        <w:t xml:space="preserve">: Graduated or Returned Rates by </w:t>
      </w:r>
      <w:r>
        <w:rPr>
          <w:b/>
        </w:rPr>
        <w:t xml:space="preserve">Admissions Major </w:t>
      </w:r>
      <w:r w:rsidRPr="00B6079D">
        <w:t>(continued)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940"/>
        <w:gridCol w:w="1645"/>
        <w:gridCol w:w="2340"/>
        <w:gridCol w:w="1980"/>
      </w:tblGrid>
      <w:tr w:rsidR="00E762A4" w:rsidRPr="00CD06DD" w:rsidTr="00EC3760">
        <w:trPr>
          <w:trHeight w:val="665"/>
        </w:trPr>
        <w:tc>
          <w:tcPr>
            <w:tcW w:w="2940" w:type="dxa"/>
            <w:hideMark/>
          </w:tcPr>
          <w:p w:rsidR="00E762A4" w:rsidRPr="00CD06DD" w:rsidRDefault="00E762A4" w:rsidP="00EC3760">
            <w:pPr>
              <w:rPr>
                <w:b/>
                <w:bCs/>
              </w:rPr>
            </w:pPr>
            <w:r w:rsidRPr="00CD06DD">
              <w:rPr>
                <w:b/>
                <w:bCs/>
              </w:rPr>
              <w:t>Admissions Major</w:t>
            </w:r>
          </w:p>
        </w:tc>
        <w:tc>
          <w:tcPr>
            <w:tcW w:w="1645" w:type="dxa"/>
            <w:hideMark/>
          </w:tcPr>
          <w:p w:rsidR="00E762A4" w:rsidRPr="00CD06DD" w:rsidRDefault="00E762A4" w:rsidP="00EC3760">
            <w:pPr>
              <w:jc w:val="center"/>
              <w:rPr>
                <w:b/>
                <w:bCs/>
              </w:rPr>
            </w:pPr>
            <w:r w:rsidRPr="00CD06DD">
              <w:rPr>
                <w:b/>
                <w:bCs/>
              </w:rPr>
              <w:t>Entered Fall 2012</w:t>
            </w:r>
          </w:p>
        </w:tc>
        <w:tc>
          <w:tcPr>
            <w:tcW w:w="2340" w:type="dxa"/>
            <w:hideMark/>
          </w:tcPr>
          <w:p w:rsidR="00E762A4" w:rsidRPr="00CD06DD" w:rsidRDefault="00E762A4" w:rsidP="00EC3760">
            <w:pPr>
              <w:jc w:val="center"/>
              <w:rPr>
                <w:b/>
                <w:bCs/>
              </w:rPr>
            </w:pPr>
            <w:r w:rsidRPr="00CD06DD">
              <w:rPr>
                <w:b/>
                <w:bCs/>
              </w:rPr>
              <w:t>Grad. or Returned Fall 2013</w:t>
            </w:r>
          </w:p>
        </w:tc>
        <w:tc>
          <w:tcPr>
            <w:tcW w:w="1980" w:type="dxa"/>
            <w:hideMark/>
          </w:tcPr>
          <w:p w:rsidR="00E762A4" w:rsidRPr="00CD06DD" w:rsidRDefault="00E762A4" w:rsidP="00EC3760">
            <w:pPr>
              <w:jc w:val="center"/>
              <w:rPr>
                <w:b/>
                <w:bCs/>
              </w:rPr>
            </w:pPr>
            <w:r w:rsidRPr="00CD06DD">
              <w:rPr>
                <w:b/>
                <w:bCs/>
              </w:rPr>
              <w:t>Grad/Return Rate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English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32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28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87.5%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Environmental Science 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66.7%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Environmental Science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15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10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66.7%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E762A4">
            <w:r w:rsidRPr="00CD06DD">
              <w:t>Ethical, Soc, Pol</w:t>
            </w:r>
            <w:r w:rsidR="00E762A4">
              <w:t>.</w:t>
            </w:r>
            <w:r w:rsidRPr="00CD06DD">
              <w:t>Phil.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50.0%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Exercise &amp; Health Sciences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113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79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69.9%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French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100.0%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History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30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25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83.3%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Human Services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41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34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82.9%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Information Technology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53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43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81.1%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Italian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100.0%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Management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209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165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78.9%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Mathematics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0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Mathematics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14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12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85.7%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Music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88.9%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Nursing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69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66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95.7%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Nursing for RN's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127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97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76.4%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Philosophy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42.9%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Physics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66.7%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Physics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4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57.1%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Political Science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25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19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76.0%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Psychology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95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78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82.1%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Psychology (BS)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33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24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72.7%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Psychology/Sociology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34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25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73.5%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Sociology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26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26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100.0%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Spanish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33.3%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Theatre Arts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5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55.6%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Undecided - Liberal Arts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98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69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70.4%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Undecided - Science &amp; Math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71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59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83.1%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r w:rsidRPr="00CD06DD">
              <w:t>Women's Studies (BA)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2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</w:pPr>
            <w:r w:rsidRPr="00CD06DD">
              <w:t>100.0%</w:t>
            </w:r>
          </w:p>
        </w:tc>
      </w:tr>
      <w:tr w:rsidR="00CD06DD" w:rsidRPr="00CD06DD" w:rsidTr="00CD06DD">
        <w:trPr>
          <w:trHeight w:val="300"/>
        </w:trPr>
        <w:tc>
          <w:tcPr>
            <w:tcW w:w="2940" w:type="dxa"/>
            <w:noWrap/>
            <w:hideMark/>
          </w:tcPr>
          <w:p w:rsidR="00CD06DD" w:rsidRPr="00CD06DD" w:rsidRDefault="00CD06DD" w:rsidP="00CD06DD">
            <w:pPr>
              <w:rPr>
                <w:b/>
              </w:rPr>
            </w:pPr>
            <w:r w:rsidRPr="00CD06DD">
              <w:rPr>
                <w:b/>
              </w:rPr>
              <w:t>Total</w:t>
            </w:r>
          </w:p>
        </w:tc>
        <w:tc>
          <w:tcPr>
            <w:tcW w:w="1645" w:type="dxa"/>
            <w:noWrap/>
            <w:hideMark/>
          </w:tcPr>
          <w:p w:rsidR="00CD06DD" w:rsidRPr="00CD06DD" w:rsidRDefault="00CD06DD">
            <w:pPr>
              <w:jc w:val="center"/>
              <w:rPr>
                <w:b/>
              </w:rPr>
            </w:pPr>
            <w:r w:rsidRPr="00CD06DD">
              <w:rPr>
                <w:b/>
              </w:rPr>
              <w:t>1,719</w:t>
            </w:r>
          </w:p>
        </w:tc>
        <w:tc>
          <w:tcPr>
            <w:tcW w:w="2340" w:type="dxa"/>
            <w:noWrap/>
            <w:hideMark/>
          </w:tcPr>
          <w:p w:rsidR="00CD06DD" w:rsidRPr="00CD06DD" w:rsidRDefault="00CD06DD">
            <w:pPr>
              <w:jc w:val="center"/>
              <w:rPr>
                <w:b/>
              </w:rPr>
            </w:pPr>
            <w:r w:rsidRPr="00CD06DD">
              <w:rPr>
                <w:b/>
              </w:rPr>
              <w:t>1,348</w:t>
            </w:r>
          </w:p>
        </w:tc>
        <w:tc>
          <w:tcPr>
            <w:tcW w:w="1980" w:type="dxa"/>
            <w:noWrap/>
            <w:hideMark/>
          </w:tcPr>
          <w:p w:rsidR="00CD06DD" w:rsidRPr="00CD06DD" w:rsidRDefault="00CD06DD">
            <w:pPr>
              <w:jc w:val="center"/>
              <w:rPr>
                <w:b/>
              </w:rPr>
            </w:pPr>
            <w:r w:rsidRPr="00CD06DD">
              <w:rPr>
                <w:b/>
              </w:rPr>
              <w:t>78.4%</w:t>
            </w:r>
          </w:p>
        </w:tc>
      </w:tr>
    </w:tbl>
    <w:p w:rsidR="006A475F" w:rsidRDefault="006A475F" w:rsidP="00B6079D"/>
    <w:p w:rsidR="006A475F" w:rsidRDefault="006A475F" w:rsidP="00B6079D"/>
    <w:p w:rsidR="00CD06DD" w:rsidRDefault="00B6079D" w:rsidP="00B6079D">
      <w:r w:rsidRPr="00B6079D">
        <w:t xml:space="preserve">Overall, </w:t>
      </w:r>
      <w:r>
        <w:t>fall 2013 transfer student graduation/retention to the second year showed a small improvement over the rate for the 2012 cohort</w:t>
      </w:r>
      <w:r w:rsidR="00C32D0F">
        <w:t xml:space="preserve"> at 78.4% compared to 76.3%</w:t>
      </w:r>
      <w:r>
        <w:t xml:space="preserve">.  </w:t>
      </w:r>
      <w:r w:rsidR="00C32D0F">
        <w:t>The rate for the 2011 cohort had been 76.2%.</w:t>
      </w:r>
    </w:p>
    <w:p w:rsidR="00C32D0F" w:rsidRDefault="00C32D0F" w:rsidP="00B6079D"/>
    <w:p w:rsidR="00C32D0F" w:rsidRDefault="00C32D0F" w:rsidP="00B6079D">
      <w:r>
        <w:lastRenderedPageBreak/>
        <w:t>The 79.7% retention rate for first-time full-time freshman was a 2.2 percentage point improvement over that of the fall 2012 cohort. We hope that this improvement is an ongoing trend.</w:t>
      </w:r>
    </w:p>
    <w:p w:rsidR="00C32D0F" w:rsidRDefault="00C32D0F" w:rsidP="00B6079D"/>
    <w:p w:rsidR="00C32D0F" w:rsidRPr="00B6079D" w:rsidRDefault="00C32D0F" w:rsidP="00B6079D">
      <w:r>
        <w:t xml:space="preserve">Our next report will be for persistence to the third year of the 2012 cohorts of first-time full-time freshmen and of transfers. </w:t>
      </w:r>
    </w:p>
    <w:sectPr w:rsidR="00C32D0F" w:rsidRPr="00B6079D" w:rsidSect="00B924D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F2" w:rsidRDefault="004D49F2">
      <w:r>
        <w:separator/>
      </w:r>
    </w:p>
  </w:endnote>
  <w:endnote w:type="continuationSeparator" w:id="0">
    <w:p w:rsidR="004D49F2" w:rsidRDefault="004D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60" w:rsidRDefault="00EC3760">
    <w:pPr>
      <w:pStyle w:val="Footer"/>
    </w:pPr>
    <w:r>
      <w:t>The Office of Institutional Research</w:t>
    </w:r>
  </w:p>
  <w:p w:rsidR="00EC3760" w:rsidRDefault="00EC3760">
    <w:pPr>
      <w:pStyle w:val="Footer"/>
    </w:pPr>
    <w:r>
      <w:t>And Policy Studies</w:t>
    </w:r>
    <w:r>
      <w:ptab w:relativeTo="margin" w:alignment="center" w:leader="none"/>
    </w:r>
    <w:r>
      <w:t xml:space="preserve">Page </w:t>
    </w:r>
    <w:r>
      <w:ptab w:relativeTo="margin" w:alignment="right" w:leader="none"/>
    </w:r>
    <w:r>
      <w:t>November 26, 2012</w:t>
    </w:r>
  </w:p>
  <w:p w:rsidR="00EC3760" w:rsidRDefault="00EC3760">
    <w:pPr>
      <w:pStyle w:val="Footer"/>
    </w:pPr>
    <w:r>
      <w:tab/>
    </w:r>
    <w:r>
      <w:tab/>
      <w:t>KBM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60" w:rsidRDefault="00EC3760">
    <w:pPr>
      <w:pStyle w:val="Footer"/>
    </w:pPr>
    <w:r>
      <w:t>The Office of Institutional Research</w:t>
    </w:r>
    <w:r>
      <w:tab/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4A84">
      <w:rPr>
        <w:noProof/>
      </w:rPr>
      <w:t>2</w:t>
    </w:r>
    <w:r>
      <w:fldChar w:fldCharType="end"/>
    </w:r>
    <w:r>
      <w:t xml:space="preserve"> of </w:t>
    </w:r>
    <w:r w:rsidR="004D49F2">
      <w:fldChar w:fldCharType="begin"/>
    </w:r>
    <w:r w:rsidR="004D49F2">
      <w:instrText xml:space="preserve"> NUMPAGES   \* MERGEFORMAT </w:instrText>
    </w:r>
    <w:r w:rsidR="004D49F2">
      <w:fldChar w:fldCharType="separate"/>
    </w:r>
    <w:r w:rsidR="004D4A84">
      <w:rPr>
        <w:noProof/>
      </w:rPr>
      <w:t>8</w:t>
    </w:r>
    <w:r w:rsidR="004D49F2">
      <w:rPr>
        <w:noProof/>
      </w:rPr>
      <w:fldChar w:fldCharType="end"/>
    </w:r>
    <w:r>
      <w:tab/>
      <w:t xml:space="preserve">October </w:t>
    </w:r>
    <w:r w:rsidR="002B44B4">
      <w:t>31</w:t>
    </w:r>
    <w:r>
      <w:t>, 2014</w:t>
    </w:r>
  </w:p>
  <w:p w:rsidR="00EC3760" w:rsidRDefault="00EC3760">
    <w:pPr>
      <w:pStyle w:val="Footer"/>
    </w:pPr>
    <w:r>
      <w:t>And Policy Studies</w:t>
    </w:r>
    <w:r>
      <w:tab/>
    </w:r>
    <w:r>
      <w:tab/>
      <w:t>KBM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60" w:rsidRDefault="00EC3760" w:rsidP="006728D0">
    <w:pPr>
      <w:pStyle w:val="Footer"/>
      <w:tabs>
        <w:tab w:val="clear" w:pos="4320"/>
        <w:tab w:val="clear" w:pos="8640"/>
        <w:tab w:val="center" w:pos="4954"/>
        <w:tab w:val="right" w:pos="9908"/>
      </w:tabs>
    </w:pPr>
    <w:r>
      <w:t>The Office of Institutional Research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4A84">
      <w:rPr>
        <w:noProof/>
      </w:rPr>
      <w:t>1</w:t>
    </w:r>
    <w:r>
      <w:fldChar w:fldCharType="end"/>
    </w:r>
    <w:r>
      <w:t xml:space="preserve"> of </w:t>
    </w:r>
    <w:r w:rsidR="004D49F2">
      <w:fldChar w:fldCharType="begin"/>
    </w:r>
    <w:r w:rsidR="004D49F2">
      <w:instrText xml:space="preserve"> NUMPAGES   \* MERGEFORMAT </w:instrText>
    </w:r>
    <w:r w:rsidR="004D49F2">
      <w:fldChar w:fldCharType="separate"/>
    </w:r>
    <w:r w:rsidR="004D4A84">
      <w:rPr>
        <w:noProof/>
      </w:rPr>
      <w:t>1</w:t>
    </w:r>
    <w:r w:rsidR="004D49F2">
      <w:rPr>
        <w:noProof/>
      </w:rPr>
      <w:fldChar w:fldCharType="end"/>
    </w:r>
    <w:r w:rsidRPr="000A4CF0">
      <w:tab/>
    </w:r>
    <w:r>
      <w:t xml:space="preserve">October </w:t>
    </w:r>
    <w:r w:rsidR="002B44B4">
      <w:t>31</w:t>
    </w:r>
    <w:r>
      <w:t>, 2014</w:t>
    </w:r>
  </w:p>
  <w:p w:rsidR="00EC3760" w:rsidRDefault="00EC3760" w:rsidP="006728D0">
    <w:pPr>
      <w:pStyle w:val="Footer"/>
      <w:tabs>
        <w:tab w:val="clear" w:pos="4320"/>
        <w:tab w:val="clear" w:pos="8640"/>
        <w:tab w:val="center" w:pos="4954"/>
        <w:tab w:val="right" w:pos="9908"/>
      </w:tabs>
    </w:pPr>
    <w:r>
      <w:t>And Policy Studies</w:t>
    </w:r>
    <w:r>
      <w:tab/>
    </w:r>
    <w:r w:rsidRPr="000A4CF0">
      <w:ptab w:relativeTo="margin" w:alignment="center" w:leader="none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F2" w:rsidRDefault="004D49F2">
      <w:r>
        <w:separator/>
      </w:r>
    </w:p>
  </w:footnote>
  <w:footnote w:type="continuationSeparator" w:id="0">
    <w:p w:rsidR="004D49F2" w:rsidRDefault="004D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60" w:rsidRDefault="00EC3760">
    <w:pPr>
      <w:pStyle w:val="Header"/>
    </w:pPr>
  </w:p>
  <w:p w:rsidR="00EC3760" w:rsidRDefault="00EC3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60" w:rsidRDefault="00EC3760" w:rsidP="00C441B9">
    <w:pPr>
      <w:pStyle w:val="Header"/>
      <w:tabs>
        <w:tab w:val="clear" w:pos="8640"/>
        <w:tab w:val="right" w:pos="10080"/>
      </w:tabs>
    </w:pPr>
    <w:r>
      <w:rPr>
        <w:noProof/>
      </w:rPr>
      <w:drawing>
        <wp:inline distT="0" distB="0" distL="0" distR="0" wp14:anchorId="628AF36B" wp14:editId="07A938C6">
          <wp:extent cx="6286500" cy="1714500"/>
          <wp:effectExtent l="0" t="0" r="0" b="0"/>
          <wp:docPr id="1" name=" oirp Fact sheet.head.pdf" descr="/Users/rcoveney/Desktop/Office of Institutional Research and Policy Studies/ oirp Fact sheet.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oirp Fact sheet.head.pdf" descr="/Users/rcoveney/Desktop/Office of Institutional Research and Policy Studies/ oirp Fact sheet.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9" t="909" r="5882" b="80910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88"/>
    <w:multiLevelType w:val="hybridMultilevel"/>
    <w:tmpl w:val="AC96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0E1"/>
    <w:multiLevelType w:val="hybridMultilevel"/>
    <w:tmpl w:val="1E2E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04F7"/>
    <w:multiLevelType w:val="hybridMultilevel"/>
    <w:tmpl w:val="2972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D0"/>
    <w:rsid w:val="00012725"/>
    <w:rsid w:val="0001324B"/>
    <w:rsid w:val="00021747"/>
    <w:rsid w:val="000502C8"/>
    <w:rsid w:val="00057BE7"/>
    <w:rsid w:val="00071DD4"/>
    <w:rsid w:val="000A4CF0"/>
    <w:rsid w:val="000D217D"/>
    <w:rsid w:val="000D3A36"/>
    <w:rsid w:val="000E28DF"/>
    <w:rsid w:val="000F404A"/>
    <w:rsid w:val="00176ED9"/>
    <w:rsid w:val="00180860"/>
    <w:rsid w:val="00184AFC"/>
    <w:rsid w:val="001C5599"/>
    <w:rsid w:val="001E23D3"/>
    <w:rsid w:val="002633CA"/>
    <w:rsid w:val="00290758"/>
    <w:rsid w:val="002A19CE"/>
    <w:rsid w:val="002B44B4"/>
    <w:rsid w:val="002C7115"/>
    <w:rsid w:val="00314FCD"/>
    <w:rsid w:val="00331B25"/>
    <w:rsid w:val="003409F7"/>
    <w:rsid w:val="00344504"/>
    <w:rsid w:val="00365CA6"/>
    <w:rsid w:val="003806F7"/>
    <w:rsid w:val="003865FF"/>
    <w:rsid w:val="003A61AD"/>
    <w:rsid w:val="003D0C1C"/>
    <w:rsid w:val="00406F2F"/>
    <w:rsid w:val="00487BA4"/>
    <w:rsid w:val="004A4182"/>
    <w:rsid w:val="004D3E55"/>
    <w:rsid w:val="004D49F2"/>
    <w:rsid w:val="004D4A84"/>
    <w:rsid w:val="004D54B5"/>
    <w:rsid w:val="004E0D30"/>
    <w:rsid w:val="004F09DE"/>
    <w:rsid w:val="00513BE3"/>
    <w:rsid w:val="00596172"/>
    <w:rsid w:val="005C138C"/>
    <w:rsid w:val="005D5B3A"/>
    <w:rsid w:val="00612ACE"/>
    <w:rsid w:val="006145D1"/>
    <w:rsid w:val="006228B5"/>
    <w:rsid w:val="006728D0"/>
    <w:rsid w:val="006969C9"/>
    <w:rsid w:val="006A475F"/>
    <w:rsid w:val="006F4CF2"/>
    <w:rsid w:val="007062BD"/>
    <w:rsid w:val="00712B98"/>
    <w:rsid w:val="007513F9"/>
    <w:rsid w:val="00764C98"/>
    <w:rsid w:val="007C41FB"/>
    <w:rsid w:val="0087066B"/>
    <w:rsid w:val="00874787"/>
    <w:rsid w:val="008A3C90"/>
    <w:rsid w:val="008C6988"/>
    <w:rsid w:val="008E47A0"/>
    <w:rsid w:val="00931DC9"/>
    <w:rsid w:val="00981079"/>
    <w:rsid w:val="009D5CCB"/>
    <w:rsid w:val="00A03BE8"/>
    <w:rsid w:val="00A54ED7"/>
    <w:rsid w:val="00A66D33"/>
    <w:rsid w:val="00B145CE"/>
    <w:rsid w:val="00B330FB"/>
    <w:rsid w:val="00B6079D"/>
    <w:rsid w:val="00B73D43"/>
    <w:rsid w:val="00B924D2"/>
    <w:rsid w:val="00B938C3"/>
    <w:rsid w:val="00BA1AE2"/>
    <w:rsid w:val="00BB6B85"/>
    <w:rsid w:val="00BF0FF8"/>
    <w:rsid w:val="00C05E72"/>
    <w:rsid w:val="00C32D0F"/>
    <w:rsid w:val="00C413E7"/>
    <w:rsid w:val="00C441B9"/>
    <w:rsid w:val="00C7561F"/>
    <w:rsid w:val="00CB0A09"/>
    <w:rsid w:val="00CB7A40"/>
    <w:rsid w:val="00CB7D07"/>
    <w:rsid w:val="00CD06DD"/>
    <w:rsid w:val="00CE094E"/>
    <w:rsid w:val="00CF5785"/>
    <w:rsid w:val="00D14FD2"/>
    <w:rsid w:val="00D16E9F"/>
    <w:rsid w:val="00DD15FE"/>
    <w:rsid w:val="00DF4EC4"/>
    <w:rsid w:val="00E07377"/>
    <w:rsid w:val="00E23357"/>
    <w:rsid w:val="00E762A4"/>
    <w:rsid w:val="00E77AC1"/>
    <w:rsid w:val="00E81C38"/>
    <w:rsid w:val="00EC3760"/>
    <w:rsid w:val="00F54C41"/>
    <w:rsid w:val="00F613BC"/>
    <w:rsid w:val="00F7138B"/>
    <w:rsid w:val="00F80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D5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2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87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D5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2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87B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.Murphy\Local%20Settings\Temporary%20Internet%20Files\Content.Outlook\R1GDE9OC\OIRP_TEMPLATE%20FOR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ED77-E83F-4F20-A237-FFECD18D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OIRP_TEMPLATE FOR MEMO</Template>
  <TotalTime>0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Murphy</dc:creator>
  <cp:lastModifiedBy>Awat O Osman</cp:lastModifiedBy>
  <cp:revision>2</cp:revision>
  <cp:lastPrinted>2014-10-28T15:32:00Z</cp:lastPrinted>
  <dcterms:created xsi:type="dcterms:W3CDTF">2014-11-05T19:37:00Z</dcterms:created>
  <dcterms:modified xsi:type="dcterms:W3CDTF">2014-11-05T19:37:00Z</dcterms:modified>
</cp:coreProperties>
</file>